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4B58" w14:textId="77777777" w:rsidR="001062C8" w:rsidRDefault="003E47BC">
      <w:pPr>
        <w:spacing w:after="32" w:line="259" w:lineRule="auto"/>
        <w:ind w:left="226" w:firstLine="0"/>
        <w:jc w:val="center"/>
      </w:pPr>
      <w:r>
        <w:rPr>
          <w:sz w:val="22"/>
        </w:rPr>
        <w:t xml:space="preserve"> </w:t>
      </w:r>
      <w:r>
        <w:rPr>
          <w:sz w:val="22"/>
        </w:rPr>
        <w:tab/>
        <w:t xml:space="preserve">  </w:t>
      </w:r>
    </w:p>
    <w:p w14:paraId="5DE94476" w14:textId="77777777" w:rsidR="001062C8" w:rsidRDefault="003E47BC">
      <w:pPr>
        <w:tabs>
          <w:tab w:val="center" w:pos="4309"/>
          <w:tab w:val="center" w:pos="8464"/>
        </w:tabs>
        <w:spacing w:after="56" w:line="259" w:lineRule="auto"/>
        <w:ind w:left="0" w:firstLine="0"/>
      </w:pPr>
      <w:r>
        <w:rPr>
          <w:b/>
          <w:color w:val="808080"/>
          <w:sz w:val="32"/>
        </w:rPr>
        <w:t xml:space="preserve">POSITION </w:t>
      </w:r>
      <w:r>
        <w:rPr>
          <w:b/>
          <w:color w:val="808080"/>
          <w:sz w:val="32"/>
        </w:rPr>
        <w:tab/>
      </w:r>
      <w:r>
        <w:rPr>
          <w:sz w:val="22"/>
        </w:rPr>
        <w:t xml:space="preserve">             </w:t>
      </w:r>
      <w:r>
        <w:rPr>
          <w:sz w:val="22"/>
        </w:rPr>
        <w:tab/>
        <w:t xml:space="preserve"> </w:t>
      </w:r>
    </w:p>
    <w:p w14:paraId="58F4465F" w14:textId="77777777" w:rsidR="001062C8" w:rsidRDefault="003E47BC">
      <w:pPr>
        <w:spacing w:after="0" w:line="259" w:lineRule="auto"/>
        <w:ind w:left="103" w:right="135"/>
      </w:pPr>
      <w:r>
        <w:rPr>
          <w:noProof/>
        </w:rPr>
        <w:drawing>
          <wp:anchor distT="0" distB="0" distL="114300" distR="114300" simplePos="0" relativeHeight="251658240" behindDoc="0" locked="0" layoutInCell="1" allowOverlap="0" wp14:anchorId="7585B335" wp14:editId="2538E846">
            <wp:simplePos x="0" y="0"/>
            <wp:positionH relativeFrom="column">
              <wp:posOffset>2989275</wp:posOffset>
            </wp:positionH>
            <wp:positionV relativeFrom="paragraph">
              <wp:posOffset>-109171</wp:posOffset>
            </wp:positionV>
            <wp:extent cx="2657476" cy="447675"/>
            <wp:effectExtent l="0" t="0" r="0" b="0"/>
            <wp:wrapSquare wrapText="bothSides"/>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0"/>
                    <a:stretch>
                      <a:fillRect/>
                    </a:stretch>
                  </pic:blipFill>
                  <pic:spPr>
                    <a:xfrm>
                      <a:off x="0" y="0"/>
                      <a:ext cx="2657476" cy="447675"/>
                    </a:xfrm>
                    <a:prstGeom prst="rect">
                      <a:avLst/>
                    </a:prstGeom>
                  </pic:spPr>
                </pic:pic>
              </a:graphicData>
            </a:graphic>
          </wp:anchor>
        </w:drawing>
      </w:r>
      <w:r>
        <w:rPr>
          <w:b/>
          <w:color w:val="808080"/>
          <w:sz w:val="32"/>
        </w:rPr>
        <w:t>DESCRIPTION</w:t>
      </w:r>
      <w:r>
        <w:rPr>
          <w:b/>
          <w:sz w:val="32"/>
        </w:rPr>
        <w:t xml:space="preserve"> </w:t>
      </w:r>
    </w:p>
    <w:p w14:paraId="2E3C8CBE" w14:textId="77777777" w:rsidR="001062C8" w:rsidRDefault="003E47BC">
      <w:pPr>
        <w:spacing w:after="0" w:line="259" w:lineRule="auto"/>
        <w:ind w:left="0" w:right="40" w:firstLine="0"/>
        <w:jc w:val="right"/>
      </w:pPr>
      <w:r>
        <w:rPr>
          <w:sz w:val="22"/>
        </w:rPr>
        <w:t xml:space="preserve">  </w:t>
      </w:r>
    </w:p>
    <w:tbl>
      <w:tblPr>
        <w:tblStyle w:val="TableGrid"/>
        <w:tblW w:w="9133" w:type="dxa"/>
        <w:tblInd w:w="-76" w:type="dxa"/>
        <w:tblCellMar>
          <w:left w:w="46" w:type="dxa"/>
          <w:right w:w="115" w:type="dxa"/>
        </w:tblCellMar>
        <w:tblLook w:val="04A0" w:firstRow="1" w:lastRow="0" w:firstColumn="1" w:lastColumn="0" w:noHBand="0" w:noVBand="1"/>
      </w:tblPr>
      <w:tblGrid>
        <w:gridCol w:w="2724"/>
        <w:gridCol w:w="6409"/>
      </w:tblGrid>
      <w:tr w:rsidR="001062C8" w14:paraId="44533811" w14:textId="77777777" w:rsidTr="003E47BC">
        <w:trPr>
          <w:trHeight w:val="405"/>
        </w:trPr>
        <w:tc>
          <w:tcPr>
            <w:tcW w:w="2724" w:type="dxa"/>
            <w:tcBorders>
              <w:top w:val="nil"/>
              <w:left w:val="single" w:sz="48" w:space="0" w:color="000000"/>
              <w:bottom w:val="nil"/>
              <w:right w:val="nil"/>
            </w:tcBorders>
            <w:vAlign w:val="bottom"/>
          </w:tcPr>
          <w:p w14:paraId="63F033E1" w14:textId="71566BB6" w:rsidR="001062C8" w:rsidRDefault="001062C8" w:rsidP="003E47BC">
            <w:pPr>
              <w:spacing w:after="0" w:line="259" w:lineRule="auto"/>
              <w:ind w:left="0" w:firstLine="0"/>
            </w:pPr>
          </w:p>
        </w:tc>
        <w:tc>
          <w:tcPr>
            <w:tcW w:w="6409" w:type="dxa"/>
            <w:tcBorders>
              <w:top w:val="nil"/>
              <w:left w:val="nil"/>
              <w:bottom w:val="nil"/>
              <w:right w:val="nil"/>
            </w:tcBorders>
          </w:tcPr>
          <w:p w14:paraId="11033D4C" w14:textId="77777777" w:rsidR="001062C8" w:rsidRDefault="001062C8">
            <w:pPr>
              <w:spacing w:after="160" w:line="259" w:lineRule="auto"/>
              <w:ind w:left="0" w:firstLine="0"/>
            </w:pPr>
          </w:p>
        </w:tc>
      </w:tr>
      <w:tr w:rsidR="001062C8" w14:paraId="3F9A762D" w14:textId="77777777" w:rsidTr="003E47BC">
        <w:trPr>
          <w:trHeight w:val="960"/>
        </w:trPr>
        <w:tc>
          <w:tcPr>
            <w:tcW w:w="2724" w:type="dxa"/>
            <w:tcBorders>
              <w:top w:val="nil"/>
              <w:left w:val="single" w:sz="48" w:space="0" w:color="000000"/>
              <w:bottom w:val="nil"/>
              <w:right w:val="nil"/>
            </w:tcBorders>
            <w:shd w:val="clear" w:color="auto" w:fill="F2F2F2"/>
          </w:tcPr>
          <w:p w14:paraId="479ACB80" w14:textId="77777777" w:rsidR="001062C8" w:rsidRDefault="003E47BC">
            <w:pPr>
              <w:spacing w:after="0" w:line="259" w:lineRule="auto"/>
              <w:ind w:left="31" w:firstLine="0"/>
            </w:pPr>
            <w:r>
              <w:rPr>
                <w:sz w:val="22"/>
              </w:rPr>
              <w:t xml:space="preserve">  </w:t>
            </w:r>
          </w:p>
          <w:p w14:paraId="187DD9D9" w14:textId="77777777" w:rsidR="001062C8" w:rsidRDefault="003E47BC">
            <w:pPr>
              <w:spacing w:after="0" w:line="259" w:lineRule="auto"/>
              <w:ind w:left="31" w:firstLine="0"/>
            </w:pPr>
            <w:r>
              <w:rPr>
                <w:sz w:val="22"/>
              </w:rPr>
              <w:t xml:space="preserve"> </w:t>
            </w:r>
            <w:r>
              <w:rPr>
                <w:b/>
                <w:color w:val="008C9A"/>
                <w:sz w:val="22"/>
              </w:rPr>
              <w:t xml:space="preserve">Position: </w:t>
            </w:r>
          </w:p>
        </w:tc>
        <w:tc>
          <w:tcPr>
            <w:tcW w:w="6409" w:type="dxa"/>
            <w:tcBorders>
              <w:top w:val="nil"/>
              <w:left w:val="nil"/>
              <w:bottom w:val="nil"/>
              <w:right w:val="nil"/>
            </w:tcBorders>
            <w:shd w:val="clear" w:color="auto" w:fill="F2F2F2"/>
            <w:vAlign w:val="bottom"/>
          </w:tcPr>
          <w:p w14:paraId="2F1B2656" w14:textId="77777777" w:rsidR="001062C8" w:rsidRDefault="003E47BC">
            <w:pPr>
              <w:spacing w:after="0" w:line="259" w:lineRule="auto"/>
              <w:ind w:left="0" w:firstLine="0"/>
            </w:pPr>
            <w:r>
              <w:rPr>
                <w:b/>
                <w:color w:val="008C9A"/>
                <w:sz w:val="22"/>
              </w:rPr>
              <w:t xml:space="preserve">Partnership Co-ordinator (Initial Teacher Education)  </w:t>
            </w:r>
          </w:p>
        </w:tc>
      </w:tr>
      <w:tr w:rsidR="001062C8" w14:paraId="674A95E4" w14:textId="77777777" w:rsidTr="003E47BC">
        <w:trPr>
          <w:trHeight w:val="535"/>
        </w:trPr>
        <w:tc>
          <w:tcPr>
            <w:tcW w:w="2724" w:type="dxa"/>
            <w:tcBorders>
              <w:top w:val="nil"/>
              <w:left w:val="single" w:sz="48" w:space="0" w:color="000000"/>
              <w:bottom w:val="nil"/>
              <w:right w:val="nil"/>
            </w:tcBorders>
            <w:shd w:val="clear" w:color="auto" w:fill="F2F2F2"/>
          </w:tcPr>
          <w:p w14:paraId="23B47A62" w14:textId="77777777" w:rsidR="001062C8" w:rsidRDefault="003E47BC">
            <w:pPr>
              <w:spacing w:after="0" w:line="259" w:lineRule="auto"/>
              <w:ind w:left="31" w:firstLine="0"/>
            </w:pPr>
            <w:r>
              <w:rPr>
                <w:b/>
                <w:color w:val="008C9A"/>
                <w:sz w:val="22"/>
              </w:rPr>
              <w:t xml:space="preserve"> </w:t>
            </w:r>
          </w:p>
          <w:p w14:paraId="5DC7D9DE" w14:textId="77777777" w:rsidR="001062C8" w:rsidRDefault="003E47BC">
            <w:pPr>
              <w:spacing w:after="0" w:line="259" w:lineRule="auto"/>
              <w:ind w:left="31" w:firstLine="0"/>
            </w:pPr>
            <w:r>
              <w:rPr>
                <w:b/>
                <w:color w:val="008C9A"/>
                <w:sz w:val="22"/>
              </w:rPr>
              <w:t xml:space="preserve"> Responsible to: </w:t>
            </w:r>
          </w:p>
        </w:tc>
        <w:tc>
          <w:tcPr>
            <w:tcW w:w="6409" w:type="dxa"/>
            <w:tcBorders>
              <w:top w:val="nil"/>
              <w:left w:val="nil"/>
              <w:bottom w:val="nil"/>
              <w:right w:val="nil"/>
            </w:tcBorders>
            <w:shd w:val="clear" w:color="auto" w:fill="F2F2F2"/>
            <w:vAlign w:val="center"/>
          </w:tcPr>
          <w:p w14:paraId="56FDF270" w14:textId="77777777" w:rsidR="001062C8" w:rsidRDefault="003E47BC">
            <w:pPr>
              <w:spacing w:after="0" w:line="259" w:lineRule="auto"/>
              <w:ind w:left="0" w:firstLine="0"/>
            </w:pPr>
            <w:r>
              <w:rPr>
                <w:b/>
                <w:color w:val="008C9A"/>
                <w:sz w:val="22"/>
              </w:rPr>
              <w:t xml:space="preserve">Programme Delivery Manager   </w:t>
            </w:r>
          </w:p>
        </w:tc>
      </w:tr>
      <w:tr w:rsidR="001062C8" w14:paraId="6143DD4A" w14:textId="77777777" w:rsidTr="003E47BC">
        <w:trPr>
          <w:trHeight w:val="535"/>
        </w:trPr>
        <w:tc>
          <w:tcPr>
            <w:tcW w:w="2724" w:type="dxa"/>
            <w:tcBorders>
              <w:top w:val="nil"/>
              <w:left w:val="single" w:sz="48" w:space="0" w:color="000000"/>
              <w:bottom w:val="nil"/>
              <w:right w:val="nil"/>
            </w:tcBorders>
            <w:shd w:val="clear" w:color="auto" w:fill="F2F2F2"/>
          </w:tcPr>
          <w:p w14:paraId="3365388D" w14:textId="77777777" w:rsidR="001062C8" w:rsidRDefault="003E47BC">
            <w:pPr>
              <w:spacing w:after="0" w:line="259" w:lineRule="auto"/>
              <w:ind w:left="31" w:firstLine="0"/>
            </w:pPr>
            <w:r>
              <w:rPr>
                <w:b/>
                <w:color w:val="008C9A"/>
                <w:sz w:val="22"/>
              </w:rPr>
              <w:t xml:space="preserve"> </w:t>
            </w:r>
          </w:p>
          <w:p w14:paraId="4D374234" w14:textId="77777777" w:rsidR="001062C8" w:rsidRDefault="003E47BC">
            <w:pPr>
              <w:spacing w:after="0" w:line="259" w:lineRule="auto"/>
              <w:ind w:left="31" w:firstLine="0"/>
            </w:pPr>
            <w:r>
              <w:rPr>
                <w:b/>
                <w:color w:val="008C9A"/>
                <w:sz w:val="22"/>
              </w:rPr>
              <w:t xml:space="preserve"> Work Unit: </w:t>
            </w:r>
          </w:p>
          <w:p w14:paraId="5BF39B95" w14:textId="77777777" w:rsidR="001062C8" w:rsidRDefault="003E47BC">
            <w:pPr>
              <w:spacing w:after="0" w:line="259" w:lineRule="auto"/>
              <w:ind w:left="31" w:firstLine="0"/>
            </w:pPr>
            <w:r>
              <w:rPr>
                <w:b/>
                <w:color w:val="008C9A"/>
                <w:sz w:val="22"/>
              </w:rPr>
              <w:t xml:space="preserve"> </w:t>
            </w:r>
          </w:p>
        </w:tc>
        <w:tc>
          <w:tcPr>
            <w:tcW w:w="6409" w:type="dxa"/>
            <w:tcBorders>
              <w:top w:val="nil"/>
              <w:left w:val="nil"/>
              <w:bottom w:val="nil"/>
              <w:right w:val="nil"/>
            </w:tcBorders>
            <w:shd w:val="clear" w:color="auto" w:fill="F2F2F2"/>
            <w:vAlign w:val="center"/>
          </w:tcPr>
          <w:p w14:paraId="2BA4830A" w14:textId="77777777" w:rsidR="001062C8" w:rsidRDefault="003E47BC">
            <w:pPr>
              <w:spacing w:after="0" w:line="259" w:lineRule="auto"/>
              <w:ind w:left="0" w:firstLine="0"/>
            </w:pPr>
            <w:r>
              <w:rPr>
                <w:b/>
                <w:color w:val="008C9A"/>
                <w:sz w:val="22"/>
              </w:rPr>
              <w:t xml:space="preserve">Learning Delivery </w:t>
            </w:r>
          </w:p>
        </w:tc>
      </w:tr>
      <w:tr w:rsidR="001062C8" w14:paraId="6154F205" w14:textId="77777777" w:rsidTr="003E47BC">
        <w:trPr>
          <w:trHeight w:val="535"/>
        </w:trPr>
        <w:tc>
          <w:tcPr>
            <w:tcW w:w="2724" w:type="dxa"/>
            <w:tcBorders>
              <w:top w:val="nil"/>
              <w:left w:val="single" w:sz="48" w:space="0" w:color="000000"/>
              <w:bottom w:val="nil"/>
              <w:right w:val="nil"/>
            </w:tcBorders>
            <w:shd w:val="clear" w:color="auto" w:fill="F2F2F2"/>
            <w:vAlign w:val="bottom"/>
          </w:tcPr>
          <w:p w14:paraId="038D44BE" w14:textId="77777777" w:rsidR="001062C8" w:rsidRDefault="003E47BC">
            <w:pPr>
              <w:spacing w:after="0" w:line="259" w:lineRule="auto"/>
              <w:ind w:left="31" w:firstLine="0"/>
            </w:pPr>
            <w:r>
              <w:rPr>
                <w:b/>
                <w:color w:val="008C9A"/>
                <w:sz w:val="22"/>
              </w:rPr>
              <w:t xml:space="preserve"> Location: </w:t>
            </w:r>
          </w:p>
          <w:p w14:paraId="5D92CCDE" w14:textId="77777777" w:rsidR="001062C8" w:rsidRDefault="003E47BC">
            <w:pPr>
              <w:spacing w:after="0" w:line="259" w:lineRule="auto"/>
              <w:ind w:left="31" w:firstLine="0"/>
            </w:pPr>
            <w:r>
              <w:rPr>
                <w:b/>
                <w:color w:val="008C9A"/>
                <w:sz w:val="22"/>
              </w:rPr>
              <w:t xml:space="preserve"> </w:t>
            </w:r>
          </w:p>
        </w:tc>
        <w:tc>
          <w:tcPr>
            <w:tcW w:w="6409" w:type="dxa"/>
            <w:tcBorders>
              <w:top w:val="nil"/>
              <w:left w:val="nil"/>
              <w:bottom w:val="nil"/>
              <w:right w:val="nil"/>
            </w:tcBorders>
            <w:shd w:val="clear" w:color="auto" w:fill="F2F2F2"/>
            <w:vAlign w:val="center"/>
          </w:tcPr>
          <w:p w14:paraId="63CA420E" w14:textId="77777777" w:rsidR="001062C8" w:rsidRDefault="003E47BC">
            <w:pPr>
              <w:spacing w:after="0" w:line="259" w:lineRule="auto"/>
              <w:ind w:left="0" w:firstLine="0"/>
            </w:pPr>
            <w:r>
              <w:rPr>
                <w:b/>
                <w:color w:val="008C9A"/>
                <w:sz w:val="22"/>
              </w:rPr>
              <w:t xml:space="preserve">Lower Hutt Campus </w:t>
            </w:r>
          </w:p>
        </w:tc>
      </w:tr>
      <w:tr w:rsidR="003E47BC" w14:paraId="50D64C47" w14:textId="77777777" w:rsidTr="003E47BC">
        <w:trPr>
          <w:trHeight w:val="362"/>
        </w:trPr>
        <w:tc>
          <w:tcPr>
            <w:tcW w:w="2724" w:type="dxa"/>
            <w:tcBorders>
              <w:top w:val="nil"/>
              <w:left w:val="nil"/>
              <w:bottom w:val="nil"/>
              <w:right w:val="nil"/>
            </w:tcBorders>
            <w:shd w:val="clear" w:color="auto" w:fill="F2F2F2"/>
          </w:tcPr>
          <w:p w14:paraId="0FCEB524" w14:textId="4643DD5F" w:rsidR="003E47BC" w:rsidRDefault="003E47BC" w:rsidP="003E47BC">
            <w:pPr>
              <w:spacing w:after="0" w:line="259" w:lineRule="auto"/>
              <w:ind w:left="31" w:firstLine="0"/>
            </w:pPr>
            <w:r>
              <w:rPr>
                <w:b/>
                <w:color w:val="008C9A"/>
                <w:sz w:val="22"/>
              </w:rPr>
              <w:t xml:space="preserve"> Date: </w:t>
            </w:r>
          </w:p>
          <w:p w14:paraId="24F4AC86" w14:textId="0807D12A" w:rsidR="003E47BC" w:rsidRDefault="003E47BC">
            <w:pPr>
              <w:spacing w:after="0" w:line="259" w:lineRule="auto"/>
              <w:ind w:left="31" w:firstLine="0"/>
            </w:pPr>
            <w:r>
              <w:rPr>
                <w:sz w:val="22"/>
              </w:rPr>
              <w:t xml:space="preserve"> </w:t>
            </w:r>
          </w:p>
        </w:tc>
        <w:tc>
          <w:tcPr>
            <w:tcW w:w="6409" w:type="dxa"/>
            <w:tcBorders>
              <w:top w:val="nil"/>
              <w:left w:val="nil"/>
              <w:bottom w:val="nil"/>
              <w:right w:val="nil"/>
            </w:tcBorders>
            <w:shd w:val="clear" w:color="auto" w:fill="F2F2F2"/>
          </w:tcPr>
          <w:p w14:paraId="598B5204" w14:textId="2CD8F3AE" w:rsidR="003E47BC" w:rsidRDefault="003E47BC">
            <w:pPr>
              <w:spacing w:after="0" w:line="259" w:lineRule="auto"/>
              <w:ind w:left="0" w:firstLine="0"/>
            </w:pPr>
            <w:r>
              <w:rPr>
                <w:b/>
                <w:color w:val="008C9A"/>
                <w:sz w:val="22"/>
              </w:rPr>
              <w:t xml:space="preserve">July 2025  </w:t>
            </w:r>
          </w:p>
        </w:tc>
      </w:tr>
    </w:tbl>
    <w:p w14:paraId="2C4F8961" w14:textId="77777777" w:rsidR="001062C8" w:rsidRDefault="003E47BC">
      <w:pPr>
        <w:spacing w:after="115" w:line="259" w:lineRule="auto"/>
        <w:ind w:left="0" w:firstLine="0"/>
      </w:pPr>
      <w:r>
        <w:rPr>
          <w:b/>
          <w:i/>
          <w:color w:val="008C9A"/>
          <w:sz w:val="22"/>
        </w:rPr>
        <w:t xml:space="preserve"> </w:t>
      </w:r>
    </w:p>
    <w:p w14:paraId="025628FB" w14:textId="77777777" w:rsidR="001062C8" w:rsidRDefault="003E47BC">
      <w:pPr>
        <w:pStyle w:val="Heading1"/>
        <w:ind w:left="-5"/>
      </w:pPr>
      <w:r>
        <w:t xml:space="preserve">ORGANISATIONAL CONTEXT </w:t>
      </w:r>
    </w:p>
    <w:p w14:paraId="3E6ED763" w14:textId="77777777" w:rsidR="001062C8" w:rsidRDefault="003E47BC">
      <w:pPr>
        <w:spacing w:after="151"/>
        <w:ind w:left="-5"/>
      </w:pPr>
      <w:r>
        <w:t xml:space="preserve">Open Polytechnic is a specialist provider of vocational open and distance learning.  It serves learners who are seeking flexible study designed to enable them to flourish in today’s changing world of work.  Its learning delivery model responds to the changing needs of learners and employers by providing a learning experience that is convenient, relevant, connected, and smart.  Open Polytechnic uses emerging technologies to enrich learners’ experience and enhance their success, and to design, deliver and support programmes in a way that fits an increasingly digital, always-on world.  </w:t>
      </w:r>
    </w:p>
    <w:p w14:paraId="3D49BF45" w14:textId="77777777" w:rsidR="001062C8" w:rsidRDefault="003E47BC">
      <w:pPr>
        <w:spacing w:after="138"/>
        <w:ind w:left="-5"/>
      </w:pPr>
      <w:r>
        <w:t xml:space="preserve">All Open Polytechnic employees must: </w:t>
      </w:r>
    </w:p>
    <w:p w14:paraId="513B7D6D" w14:textId="77777777" w:rsidR="001062C8" w:rsidRDefault="003E47BC">
      <w:pPr>
        <w:numPr>
          <w:ilvl w:val="0"/>
          <w:numId w:val="1"/>
        </w:numPr>
        <w:spacing w:after="21"/>
        <w:ind w:hanging="360"/>
      </w:pPr>
      <w:r>
        <w:t xml:space="preserve">Contribute to the organisation’s strategic goals </w:t>
      </w:r>
    </w:p>
    <w:p w14:paraId="7247A3C0" w14:textId="77777777" w:rsidR="001062C8" w:rsidRDefault="003E47BC">
      <w:pPr>
        <w:numPr>
          <w:ilvl w:val="0"/>
          <w:numId w:val="1"/>
        </w:numPr>
        <w:ind w:hanging="360"/>
      </w:pPr>
      <w:r>
        <w:t xml:space="preserve">Commit to technology-enabled open and distance learning </w:t>
      </w:r>
    </w:p>
    <w:p w14:paraId="4161DED5" w14:textId="77777777" w:rsidR="001062C8" w:rsidRDefault="003E47BC">
      <w:pPr>
        <w:numPr>
          <w:ilvl w:val="0"/>
          <w:numId w:val="1"/>
        </w:numPr>
        <w:ind w:hanging="360"/>
      </w:pPr>
      <w:r>
        <w:t xml:space="preserve">Recognise the role of Te Tiriti o Waitangi in Aotearoa/New Zealand and specifically within the context of Open Polytechnic as a crown entity. </w:t>
      </w:r>
    </w:p>
    <w:p w14:paraId="62AE6260" w14:textId="77777777" w:rsidR="001062C8" w:rsidRDefault="003E47BC">
      <w:pPr>
        <w:numPr>
          <w:ilvl w:val="0"/>
          <w:numId w:val="1"/>
        </w:numPr>
        <w:ind w:hanging="360"/>
      </w:pPr>
      <w:r>
        <w:t xml:space="preserve">Be flexible and receptive to change initiatives  </w:t>
      </w:r>
    </w:p>
    <w:p w14:paraId="5700E446" w14:textId="77777777" w:rsidR="001062C8" w:rsidRDefault="003E47BC">
      <w:pPr>
        <w:numPr>
          <w:ilvl w:val="0"/>
          <w:numId w:val="1"/>
        </w:numPr>
        <w:ind w:hanging="360"/>
      </w:pPr>
      <w:r>
        <w:t xml:space="preserve">Contribute to enhancing cross-functional relationships within Open Polytechnic </w:t>
      </w:r>
    </w:p>
    <w:p w14:paraId="584244BE" w14:textId="77777777" w:rsidR="001062C8" w:rsidRDefault="003E47BC">
      <w:pPr>
        <w:numPr>
          <w:ilvl w:val="0"/>
          <w:numId w:val="1"/>
        </w:numPr>
        <w:ind w:hanging="360"/>
      </w:pPr>
      <w:r>
        <w:t xml:space="preserve">Contribute to a culture of evidence based continuous improvement </w:t>
      </w:r>
    </w:p>
    <w:p w14:paraId="01541BC6" w14:textId="77777777" w:rsidR="001062C8" w:rsidRDefault="003E47BC">
      <w:pPr>
        <w:numPr>
          <w:ilvl w:val="0"/>
          <w:numId w:val="1"/>
        </w:numPr>
        <w:ind w:hanging="360"/>
      </w:pPr>
      <w:r>
        <w:t xml:space="preserve">Be able to work as a member of multi-disciplinary teams and to contribute their specialised expertise to work across the organisation. </w:t>
      </w:r>
    </w:p>
    <w:p w14:paraId="12BA19E1" w14:textId="77777777" w:rsidR="001062C8" w:rsidRDefault="003E47BC">
      <w:pPr>
        <w:spacing w:after="38" w:line="259" w:lineRule="auto"/>
        <w:ind w:left="360" w:firstLine="0"/>
      </w:pPr>
      <w:r>
        <w:t xml:space="preserve"> </w:t>
      </w:r>
    </w:p>
    <w:p w14:paraId="087F80E5" w14:textId="77777777" w:rsidR="001062C8" w:rsidRDefault="003E47BC">
      <w:pPr>
        <w:pStyle w:val="Heading1"/>
        <w:ind w:left="-5"/>
      </w:pPr>
      <w:r>
        <w:t xml:space="preserve">PURPOSE </w:t>
      </w:r>
    </w:p>
    <w:p w14:paraId="1E8079FE" w14:textId="4D8BCF1A" w:rsidR="001062C8" w:rsidRDefault="003E47BC">
      <w:pPr>
        <w:spacing w:after="151"/>
        <w:ind w:left="-5"/>
      </w:pPr>
      <w:r>
        <w:t xml:space="preserve">The Partnership Co-Ordinator supports the delivery of Initial Teacher Education (ITE) programmes in early childhood education centres, and primary and secondary schools who partner with the polytechnic and/or offer practicum learning opportunities for our </w:t>
      </w:r>
      <w:proofErr w:type="spellStart"/>
      <w:r>
        <w:t>ākonga</w:t>
      </w:r>
      <w:proofErr w:type="spellEnd"/>
      <w:r>
        <w:t xml:space="preserve">.  The </w:t>
      </w:r>
      <w:r w:rsidR="007E52E3">
        <w:t>Partnership Co-ordinator</w:t>
      </w:r>
      <w:r>
        <w:t xml:space="preserve">’s role is key to establishing, building, and sustaining effective relationships between Open Polytechnic NZ Ltd., early childhood education centres,  primary, and secondary schools throughout Aotearoa New </w:t>
      </w:r>
      <w:proofErr w:type="gramStart"/>
      <w:r>
        <w:t>Zealand..</w:t>
      </w:r>
      <w:proofErr w:type="gramEnd"/>
      <w:r>
        <w:t xml:space="preserve">  </w:t>
      </w:r>
      <w:r>
        <w:lastRenderedPageBreak/>
        <w:t xml:space="preserve">As well as providing oversight and coordination of the workplace learning activities that </w:t>
      </w:r>
      <w:proofErr w:type="spellStart"/>
      <w:r>
        <w:t>ākonga</w:t>
      </w:r>
      <w:proofErr w:type="spellEnd"/>
      <w:r>
        <w:t xml:space="preserve"> engage in across the early childhood and school education sectors, there is an associated role that concerns oversight of the provision of pastoral support for </w:t>
      </w:r>
      <w:proofErr w:type="spellStart"/>
      <w:r>
        <w:t>ākonga</w:t>
      </w:r>
      <w:proofErr w:type="spellEnd"/>
      <w:r>
        <w:t xml:space="preserve"> while engaged in workplace-based practicum learning, and the support and care that </w:t>
      </w:r>
      <w:proofErr w:type="spellStart"/>
      <w:r>
        <w:t>ākonga</w:t>
      </w:r>
      <w:proofErr w:type="spellEnd"/>
      <w:r>
        <w:t xml:space="preserve"> receive from partner and practicum schools and early childhood education centres. </w:t>
      </w:r>
    </w:p>
    <w:p w14:paraId="41D4C839" w14:textId="77777777" w:rsidR="001062C8" w:rsidRDefault="003E47BC">
      <w:pPr>
        <w:spacing w:after="182" w:line="259" w:lineRule="auto"/>
        <w:ind w:left="0" w:firstLine="0"/>
      </w:pPr>
      <w:r>
        <w:t xml:space="preserve"> </w:t>
      </w:r>
    </w:p>
    <w:p w14:paraId="1B1204B8" w14:textId="77777777" w:rsidR="001062C8" w:rsidRDefault="003E47BC">
      <w:pPr>
        <w:pStyle w:val="Heading1"/>
        <w:ind w:left="-5"/>
      </w:pPr>
      <w:r>
        <w:t xml:space="preserve">ORGANISATION CHART </w:t>
      </w:r>
    </w:p>
    <w:p w14:paraId="1D4BC616" w14:textId="77777777" w:rsidR="001062C8" w:rsidRDefault="003E47BC" w:rsidP="007E52E3">
      <w:pPr>
        <w:pStyle w:val="ListParagraph"/>
        <w:numPr>
          <w:ilvl w:val="0"/>
          <w:numId w:val="23"/>
        </w:numPr>
        <w:spacing w:after="181"/>
      </w:pPr>
      <w:r>
        <w:t xml:space="preserve">Council </w:t>
      </w:r>
    </w:p>
    <w:p w14:paraId="79FFB697" w14:textId="56FD4264" w:rsidR="007E52E3" w:rsidRPr="007E52E3" w:rsidRDefault="003E47BC" w:rsidP="007E52E3">
      <w:pPr>
        <w:pStyle w:val="ListParagraph"/>
        <w:numPr>
          <w:ilvl w:val="1"/>
          <w:numId w:val="23"/>
        </w:numPr>
        <w:ind w:right="3829"/>
        <w:rPr>
          <w:rFonts w:ascii="Arial" w:eastAsia="Arial" w:hAnsi="Arial" w:cs="Arial"/>
        </w:rPr>
      </w:pPr>
      <w:r>
        <w:t xml:space="preserve">Chief Executive </w:t>
      </w:r>
      <w:r w:rsidRPr="007E52E3">
        <w:rPr>
          <w:rFonts w:ascii="Courier New" w:eastAsia="Courier New" w:hAnsi="Courier New" w:cs="Courier New"/>
        </w:rPr>
        <w:t>o</w:t>
      </w:r>
      <w:r w:rsidRPr="007E52E3">
        <w:rPr>
          <w:rFonts w:ascii="Arial" w:eastAsia="Arial" w:hAnsi="Arial" w:cs="Arial"/>
        </w:rPr>
        <w:t xml:space="preserve"> </w:t>
      </w:r>
    </w:p>
    <w:p w14:paraId="7EFAF927" w14:textId="0794FECD" w:rsidR="001062C8" w:rsidRDefault="003E47BC" w:rsidP="007E52E3">
      <w:pPr>
        <w:pStyle w:val="ListParagraph"/>
        <w:numPr>
          <w:ilvl w:val="2"/>
          <w:numId w:val="23"/>
        </w:numPr>
        <w:ind w:right="3074"/>
      </w:pPr>
      <w:r>
        <w:t xml:space="preserve">Executive Director: Learning Delivery </w:t>
      </w:r>
    </w:p>
    <w:p w14:paraId="1E5250E4" w14:textId="77777777" w:rsidR="007E52E3" w:rsidRPr="007E52E3" w:rsidRDefault="003E47BC" w:rsidP="007E52E3">
      <w:pPr>
        <w:numPr>
          <w:ilvl w:val="3"/>
          <w:numId w:val="23"/>
        </w:numPr>
        <w:ind w:right="1218"/>
      </w:pPr>
      <w:r>
        <w:t xml:space="preserve">Manager: Learning &amp; Teaching </w:t>
      </w:r>
      <w:r>
        <w:rPr>
          <w:rFonts w:ascii="Courier New" w:eastAsia="Courier New" w:hAnsi="Courier New" w:cs="Courier New"/>
        </w:rPr>
        <w:t>o</w:t>
      </w:r>
      <w:r>
        <w:rPr>
          <w:rFonts w:ascii="Arial" w:eastAsia="Arial" w:hAnsi="Arial" w:cs="Arial"/>
        </w:rPr>
        <w:t xml:space="preserve"> </w:t>
      </w:r>
    </w:p>
    <w:p w14:paraId="7D355216" w14:textId="620CC0EE" w:rsidR="001062C8" w:rsidRDefault="003E47BC" w:rsidP="007E52E3">
      <w:pPr>
        <w:numPr>
          <w:ilvl w:val="4"/>
          <w:numId w:val="23"/>
        </w:numPr>
        <w:ind w:right="1218"/>
      </w:pPr>
      <w:r>
        <w:t xml:space="preserve">Programme Delivery Manager </w:t>
      </w:r>
    </w:p>
    <w:p w14:paraId="019B1F31" w14:textId="77777777" w:rsidR="001062C8" w:rsidRDefault="003E47BC" w:rsidP="007E52E3">
      <w:pPr>
        <w:numPr>
          <w:ilvl w:val="5"/>
          <w:numId w:val="23"/>
        </w:numPr>
        <w:spacing w:after="206" w:line="259" w:lineRule="auto"/>
        <w:ind w:right="1218"/>
      </w:pPr>
      <w:r>
        <w:rPr>
          <w:b/>
        </w:rPr>
        <w:t xml:space="preserve">Partnership Co-ordinator  </w:t>
      </w:r>
    </w:p>
    <w:p w14:paraId="37083E65" w14:textId="77777777" w:rsidR="001062C8" w:rsidRDefault="003E47BC">
      <w:pPr>
        <w:spacing w:after="115" w:line="259" w:lineRule="auto"/>
        <w:ind w:left="0" w:firstLine="0"/>
      </w:pPr>
      <w:r>
        <w:rPr>
          <w:b/>
          <w:i/>
          <w:color w:val="008C9A"/>
          <w:sz w:val="22"/>
        </w:rPr>
        <w:t xml:space="preserve"> </w:t>
      </w:r>
    </w:p>
    <w:p w14:paraId="524E66E2" w14:textId="77777777" w:rsidR="001062C8" w:rsidRDefault="003E47BC">
      <w:pPr>
        <w:pStyle w:val="Heading1"/>
        <w:ind w:left="-5"/>
      </w:pPr>
      <w:r>
        <w:t xml:space="preserve">KEY RELATIONSHIPS </w:t>
      </w:r>
    </w:p>
    <w:p w14:paraId="24CDC844" w14:textId="77777777" w:rsidR="001062C8" w:rsidRDefault="003E47BC">
      <w:pPr>
        <w:pStyle w:val="Heading2"/>
        <w:ind w:left="-5"/>
      </w:pPr>
      <w:r>
        <w:t xml:space="preserve">Internal </w:t>
      </w:r>
    </w:p>
    <w:p w14:paraId="05889C38" w14:textId="77777777" w:rsidR="001062C8" w:rsidRDefault="003E47BC">
      <w:pPr>
        <w:numPr>
          <w:ilvl w:val="0"/>
          <w:numId w:val="3"/>
        </w:numPr>
        <w:ind w:hanging="360"/>
      </w:pPr>
      <w:r>
        <w:t xml:space="preserve">Programme Delivery Managers (PDMs) </w:t>
      </w:r>
    </w:p>
    <w:p w14:paraId="64DDB6B5" w14:textId="77777777" w:rsidR="001062C8" w:rsidRDefault="003E47BC">
      <w:pPr>
        <w:numPr>
          <w:ilvl w:val="0"/>
          <w:numId w:val="3"/>
        </w:numPr>
        <w:ind w:hanging="360"/>
      </w:pPr>
      <w:r>
        <w:t xml:space="preserve">Manager, Learning &amp; Teaching </w:t>
      </w:r>
    </w:p>
    <w:p w14:paraId="28B71798" w14:textId="77777777" w:rsidR="001062C8" w:rsidRDefault="003E47BC">
      <w:pPr>
        <w:numPr>
          <w:ilvl w:val="0"/>
          <w:numId w:val="3"/>
        </w:numPr>
        <w:ind w:hanging="360"/>
      </w:pPr>
      <w:r>
        <w:t xml:space="preserve">Manager, Learning Delivery Operations </w:t>
      </w:r>
    </w:p>
    <w:p w14:paraId="1310F3E5" w14:textId="77777777" w:rsidR="001062C8" w:rsidRDefault="003E47BC">
      <w:pPr>
        <w:numPr>
          <w:ilvl w:val="0"/>
          <w:numId w:val="3"/>
        </w:numPr>
        <w:ind w:hanging="360"/>
      </w:pPr>
      <w:r>
        <w:t xml:space="preserve">Manager, Learner Engagement &amp; Success Services  </w:t>
      </w:r>
    </w:p>
    <w:p w14:paraId="0C694B39" w14:textId="77777777" w:rsidR="001062C8" w:rsidRDefault="003E47BC">
      <w:pPr>
        <w:numPr>
          <w:ilvl w:val="0"/>
          <w:numId w:val="3"/>
        </w:numPr>
        <w:spacing w:after="0"/>
        <w:ind w:hanging="360"/>
      </w:pPr>
      <w:r>
        <w:t xml:space="preserve">Student Mentors </w:t>
      </w:r>
    </w:p>
    <w:p w14:paraId="3E777192" w14:textId="77777777" w:rsidR="001062C8" w:rsidRDefault="003E47BC">
      <w:pPr>
        <w:numPr>
          <w:ilvl w:val="0"/>
          <w:numId w:val="3"/>
        </w:numPr>
        <w:spacing w:after="0"/>
        <w:ind w:hanging="360"/>
      </w:pPr>
      <w:r>
        <w:t xml:space="preserve">Learning Delivery Administrators </w:t>
      </w:r>
    </w:p>
    <w:p w14:paraId="074CB9CC" w14:textId="77777777" w:rsidR="001062C8" w:rsidRDefault="003E47BC" w:rsidP="007E52E3">
      <w:pPr>
        <w:numPr>
          <w:ilvl w:val="0"/>
          <w:numId w:val="3"/>
        </w:numPr>
        <w:spacing w:after="0" w:line="240" w:lineRule="auto"/>
        <w:ind w:hanging="360"/>
      </w:pPr>
      <w:r>
        <w:t xml:space="preserve">Student Journey Centre and Student Advisors  </w:t>
      </w:r>
    </w:p>
    <w:p w14:paraId="25806CBA" w14:textId="77777777" w:rsidR="001062C8" w:rsidRDefault="003E47BC" w:rsidP="007E52E3">
      <w:pPr>
        <w:numPr>
          <w:ilvl w:val="0"/>
          <w:numId w:val="3"/>
        </w:numPr>
        <w:spacing w:after="0" w:line="240" w:lineRule="auto"/>
        <w:ind w:hanging="360"/>
      </w:pPr>
      <w:r>
        <w:t xml:space="preserve">Open Polytechnic academic committees and associated staff </w:t>
      </w:r>
    </w:p>
    <w:p w14:paraId="4AD7D617" w14:textId="77777777" w:rsidR="001062C8" w:rsidRDefault="003E47BC" w:rsidP="007E52E3">
      <w:pPr>
        <w:numPr>
          <w:ilvl w:val="0"/>
          <w:numId w:val="3"/>
        </w:numPr>
        <w:spacing w:after="0" w:line="240" w:lineRule="auto"/>
        <w:ind w:hanging="360"/>
      </w:pPr>
      <w:r>
        <w:t xml:space="preserve">Te Kura Wananga </w:t>
      </w:r>
    </w:p>
    <w:p w14:paraId="2491BFCA" w14:textId="77777777" w:rsidR="007E52E3" w:rsidRPr="007E52E3" w:rsidRDefault="003E47BC" w:rsidP="007E52E3">
      <w:pPr>
        <w:numPr>
          <w:ilvl w:val="0"/>
          <w:numId w:val="3"/>
        </w:numPr>
        <w:spacing w:after="0" w:line="240" w:lineRule="auto"/>
        <w:ind w:hanging="360"/>
      </w:pPr>
      <w:r>
        <w:t xml:space="preserve">Academic Services </w:t>
      </w:r>
      <w:r>
        <w:rPr>
          <w:rFonts w:ascii="Courier New" w:eastAsia="Courier New" w:hAnsi="Courier New" w:cs="Courier New"/>
        </w:rPr>
        <w:t>o</w:t>
      </w:r>
      <w:r>
        <w:rPr>
          <w:rFonts w:ascii="Arial" w:eastAsia="Arial" w:hAnsi="Arial" w:cs="Arial"/>
        </w:rPr>
        <w:t xml:space="preserve"> </w:t>
      </w:r>
    </w:p>
    <w:p w14:paraId="3064468C" w14:textId="77777777" w:rsidR="007E52E3" w:rsidRPr="007E52E3" w:rsidRDefault="003E47BC" w:rsidP="007E52E3">
      <w:pPr>
        <w:numPr>
          <w:ilvl w:val="0"/>
          <w:numId w:val="3"/>
        </w:numPr>
        <w:spacing w:after="0" w:line="240" w:lineRule="auto"/>
        <w:ind w:hanging="360"/>
      </w:pPr>
      <w:r>
        <w:t xml:space="preserve">Library &amp; Learning Centre </w:t>
      </w:r>
      <w:r>
        <w:rPr>
          <w:rFonts w:ascii="Courier New" w:eastAsia="Courier New" w:hAnsi="Courier New" w:cs="Courier New"/>
        </w:rPr>
        <w:t>o</w:t>
      </w:r>
      <w:r>
        <w:rPr>
          <w:rFonts w:ascii="Arial" w:eastAsia="Arial" w:hAnsi="Arial" w:cs="Arial"/>
        </w:rPr>
        <w:t xml:space="preserve"> </w:t>
      </w:r>
    </w:p>
    <w:p w14:paraId="38F7255E" w14:textId="77777777" w:rsidR="007E52E3" w:rsidRPr="007E52E3" w:rsidRDefault="003E47BC" w:rsidP="007E52E3">
      <w:pPr>
        <w:numPr>
          <w:ilvl w:val="0"/>
          <w:numId w:val="3"/>
        </w:numPr>
        <w:spacing w:after="0" w:line="240" w:lineRule="auto"/>
        <w:ind w:hanging="360"/>
      </w:pPr>
      <w:r>
        <w:t xml:space="preserve">Quality and Academic Development (QAD) </w:t>
      </w:r>
      <w:r>
        <w:rPr>
          <w:rFonts w:ascii="Courier New" w:eastAsia="Courier New" w:hAnsi="Courier New" w:cs="Courier New"/>
        </w:rPr>
        <w:t>o</w:t>
      </w:r>
      <w:r>
        <w:rPr>
          <w:rFonts w:ascii="Arial" w:eastAsia="Arial" w:hAnsi="Arial" w:cs="Arial"/>
        </w:rPr>
        <w:t xml:space="preserve"> </w:t>
      </w:r>
    </w:p>
    <w:p w14:paraId="553D04E0" w14:textId="11F32C4C" w:rsidR="001062C8" w:rsidRDefault="003E47BC" w:rsidP="007E52E3">
      <w:pPr>
        <w:numPr>
          <w:ilvl w:val="0"/>
          <w:numId w:val="3"/>
        </w:numPr>
        <w:spacing w:after="0" w:line="240" w:lineRule="auto"/>
        <w:ind w:hanging="360"/>
      </w:pPr>
      <w:r>
        <w:t xml:space="preserve">Academic Registry. </w:t>
      </w:r>
    </w:p>
    <w:p w14:paraId="476C16A2" w14:textId="77777777" w:rsidR="007E52E3" w:rsidRDefault="007E52E3" w:rsidP="007E52E3">
      <w:pPr>
        <w:spacing w:after="0" w:line="240" w:lineRule="auto"/>
        <w:ind w:left="360" w:firstLine="0"/>
      </w:pPr>
    </w:p>
    <w:p w14:paraId="20F0DB05" w14:textId="77777777" w:rsidR="001062C8" w:rsidRDefault="003E47BC">
      <w:pPr>
        <w:pStyle w:val="Heading2"/>
        <w:ind w:left="-5"/>
      </w:pPr>
      <w:r>
        <w:t xml:space="preserve">External </w:t>
      </w:r>
    </w:p>
    <w:p w14:paraId="0561402F" w14:textId="77777777" w:rsidR="001062C8" w:rsidRDefault="003E47BC">
      <w:pPr>
        <w:numPr>
          <w:ilvl w:val="0"/>
          <w:numId w:val="4"/>
        </w:numPr>
        <w:ind w:hanging="283"/>
      </w:pPr>
      <w:r>
        <w:t>Partner and practicum</w:t>
      </w:r>
      <w:r>
        <w:rPr>
          <w:vertAlign w:val="superscript"/>
        </w:rPr>
        <w:footnoteReference w:id="1"/>
      </w:r>
      <w:r>
        <w:t xml:space="preserve"> primary and secondary schools nationally  </w:t>
      </w:r>
    </w:p>
    <w:p w14:paraId="7EE80451" w14:textId="77777777" w:rsidR="001062C8" w:rsidRDefault="003E47BC">
      <w:pPr>
        <w:numPr>
          <w:ilvl w:val="0"/>
          <w:numId w:val="4"/>
        </w:numPr>
        <w:ind w:hanging="283"/>
      </w:pPr>
      <w:r>
        <w:t xml:space="preserve">Early childhood education centres </w:t>
      </w:r>
    </w:p>
    <w:p w14:paraId="25FA8EF0" w14:textId="77777777" w:rsidR="001062C8" w:rsidRDefault="003E47BC">
      <w:pPr>
        <w:numPr>
          <w:ilvl w:val="0"/>
          <w:numId w:val="4"/>
        </w:numPr>
        <w:ind w:hanging="283"/>
      </w:pPr>
      <w:proofErr w:type="spellStart"/>
      <w:r>
        <w:t>Ākonga</w:t>
      </w:r>
      <w:proofErr w:type="spellEnd"/>
      <w:r>
        <w:t xml:space="preserve"> (students) </w:t>
      </w:r>
    </w:p>
    <w:p w14:paraId="184A5C3D" w14:textId="77777777" w:rsidR="001062C8" w:rsidRDefault="003E47BC">
      <w:pPr>
        <w:numPr>
          <w:ilvl w:val="0"/>
          <w:numId w:val="4"/>
        </w:numPr>
        <w:ind w:hanging="283"/>
      </w:pPr>
      <w:r>
        <w:t xml:space="preserve">Professional associations and relevant business, employer, and industry organisations.  </w:t>
      </w:r>
    </w:p>
    <w:p w14:paraId="77C15BD6" w14:textId="18EAAD5E" w:rsidR="001062C8" w:rsidRDefault="003E47BC">
      <w:pPr>
        <w:numPr>
          <w:ilvl w:val="0"/>
          <w:numId w:val="4"/>
        </w:numPr>
        <w:spacing w:after="133"/>
        <w:ind w:hanging="283"/>
      </w:pPr>
      <w:r>
        <w:t>Other tertiary institutions</w:t>
      </w:r>
      <w:r w:rsidR="007E52E3">
        <w:t>.</w:t>
      </w:r>
    </w:p>
    <w:p w14:paraId="4FED0C1D" w14:textId="77777777" w:rsidR="001062C8" w:rsidRDefault="003E47BC">
      <w:pPr>
        <w:spacing w:after="0" w:line="259" w:lineRule="auto"/>
        <w:ind w:left="0" w:firstLine="0"/>
      </w:pPr>
      <w:r>
        <w:rPr>
          <w:rFonts w:ascii="Calibri" w:eastAsia="Calibri" w:hAnsi="Calibri" w:cs="Calibri"/>
          <w:noProof/>
          <w:sz w:val="22"/>
        </w:rPr>
        <mc:AlternateContent>
          <mc:Choice Requires="wpg">
            <w:drawing>
              <wp:inline distT="0" distB="0" distL="0" distR="0" wp14:anchorId="13338E30" wp14:editId="3BE2893A">
                <wp:extent cx="1829054" cy="9144"/>
                <wp:effectExtent l="0" t="0" r="0" b="0"/>
                <wp:docPr id="9864" name="Group 986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2128" name="Shape 1212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81B820" id="Group 9864"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">
                <v:shape id="Shape 12128"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53F6999D" w14:textId="77777777" w:rsidR="001062C8" w:rsidRDefault="003E47BC">
      <w:pPr>
        <w:spacing w:after="159" w:line="259" w:lineRule="auto"/>
        <w:ind w:left="0" w:firstLine="0"/>
      </w:pPr>
      <w:r>
        <w:rPr>
          <w:b/>
          <w:color w:val="008C9A"/>
          <w:sz w:val="22"/>
        </w:rPr>
        <w:lastRenderedPageBreak/>
        <w:t xml:space="preserve"> </w:t>
      </w:r>
    </w:p>
    <w:p w14:paraId="366FF726" w14:textId="77777777" w:rsidR="001062C8" w:rsidRDefault="003E47BC">
      <w:pPr>
        <w:pStyle w:val="Heading1"/>
        <w:ind w:left="-5"/>
      </w:pPr>
      <w:r>
        <w:t xml:space="preserve">ACCOUNTABILITIES &amp; RESPONSIBILITIES </w:t>
      </w:r>
    </w:p>
    <w:p w14:paraId="006941DA" w14:textId="77777777" w:rsidR="001062C8" w:rsidRDefault="003E47BC">
      <w:pPr>
        <w:spacing w:after="264"/>
        <w:ind w:left="-5"/>
      </w:pPr>
      <w:r>
        <w:t>The Partnership Co-</w:t>
      </w:r>
      <w:r>
        <w:rPr>
          <w:color w:val="151113"/>
        </w:rPr>
        <w:t>ordinator</w:t>
      </w:r>
      <w:r>
        <w:t xml:space="preserve"> is expected to perform such other duties as can reasonably be regarded as incidental to the position description and such other duties reasonably within their experience and capabilities as may be from time to time assigned after consultation with them. The annual performance plan and measurements will be discussed and agreed between the Schools Partnership Co-ordinator and manager as part of annual performance planning and development. </w:t>
      </w:r>
    </w:p>
    <w:p w14:paraId="611001E3" w14:textId="77777777" w:rsidR="001062C8" w:rsidRDefault="003E47BC">
      <w:pPr>
        <w:spacing w:after="262" w:line="259" w:lineRule="auto"/>
        <w:ind w:left="-5"/>
      </w:pPr>
      <w:r>
        <w:rPr>
          <w:b/>
          <w:sz w:val="22"/>
        </w:rPr>
        <w:t>1.</w:t>
      </w:r>
      <w:r>
        <w:rPr>
          <w:rFonts w:ascii="Arial" w:eastAsia="Arial" w:hAnsi="Arial" w:cs="Arial"/>
          <w:b/>
          <w:sz w:val="22"/>
        </w:rPr>
        <w:t xml:space="preserve"> </w:t>
      </w:r>
      <w:r>
        <w:rPr>
          <w:b/>
          <w:sz w:val="22"/>
        </w:rPr>
        <w:t xml:space="preserve">School &amp; Centre Partnership support and development  </w:t>
      </w:r>
    </w:p>
    <w:p w14:paraId="3E255C6D" w14:textId="77777777" w:rsidR="001062C8" w:rsidRDefault="003E47BC">
      <w:pPr>
        <w:pStyle w:val="Heading2"/>
        <w:ind w:left="-5"/>
      </w:pPr>
      <w:r>
        <w:t xml:space="preserve">Accountability </w:t>
      </w:r>
    </w:p>
    <w:p w14:paraId="3A57863C" w14:textId="37FED7CA" w:rsidR="001062C8" w:rsidRDefault="003E47BC">
      <w:pPr>
        <w:numPr>
          <w:ilvl w:val="0"/>
          <w:numId w:val="5"/>
        </w:numPr>
        <w:spacing w:after="36" w:line="269" w:lineRule="auto"/>
        <w:ind w:hanging="360"/>
        <w:jc w:val="both"/>
      </w:pPr>
      <w:r>
        <w:t>Relationships with early childhood education centres, schools and school communities that effectively support the delivery of Initial Teacher Education programmes by  Open Polytechnic</w:t>
      </w:r>
      <w:r w:rsidR="007E52E3">
        <w:t>.</w:t>
      </w:r>
    </w:p>
    <w:p w14:paraId="4AC56DF5" w14:textId="77777777" w:rsidR="001062C8" w:rsidRDefault="003E47BC">
      <w:pPr>
        <w:numPr>
          <w:ilvl w:val="0"/>
          <w:numId w:val="5"/>
        </w:numPr>
        <w:spacing w:after="21"/>
        <w:ind w:hanging="360"/>
        <w:jc w:val="both"/>
      </w:pPr>
      <w:r>
        <w:t xml:space="preserve">Open Polytechnic’s Initial Teacher Education programmes are represented to external stakeholders in a way that attracts </w:t>
      </w:r>
      <w:proofErr w:type="spellStart"/>
      <w:r>
        <w:t>ākonga</w:t>
      </w:r>
      <w:proofErr w:type="spellEnd"/>
      <w:r>
        <w:t xml:space="preserve">, </w:t>
      </w:r>
      <w:proofErr w:type="spellStart"/>
      <w:r>
        <w:t>kaimahi</w:t>
      </w:r>
      <w:proofErr w:type="spellEnd"/>
      <w:r>
        <w:t xml:space="preserve"> and external stakeholders to engage </w:t>
      </w:r>
    </w:p>
    <w:p w14:paraId="131838C2" w14:textId="77777777" w:rsidR="001062C8" w:rsidRDefault="003E47BC">
      <w:pPr>
        <w:numPr>
          <w:ilvl w:val="0"/>
          <w:numId w:val="5"/>
        </w:numPr>
        <w:spacing w:after="265"/>
        <w:ind w:hanging="360"/>
        <w:jc w:val="both"/>
      </w:pPr>
      <w:r>
        <w:t xml:space="preserve">The polytechnic’s external networks across the education sector will provide opportunities for effective learning and teaching experiences  </w:t>
      </w:r>
    </w:p>
    <w:p w14:paraId="23461B68" w14:textId="77777777" w:rsidR="001062C8" w:rsidRDefault="003E47BC">
      <w:pPr>
        <w:pStyle w:val="Heading2"/>
        <w:ind w:left="-5"/>
      </w:pPr>
      <w:r>
        <w:t xml:space="preserve">Responsibilities </w:t>
      </w:r>
    </w:p>
    <w:p w14:paraId="53962FB5" w14:textId="77777777" w:rsidR="001062C8" w:rsidRDefault="003E47BC">
      <w:pPr>
        <w:numPr>
          <w:ilvl w:val="0"/>
          <w:numId w:val="6"/>
        </w:numPr>
        <w:ind w:hanging="360"/>
      </w:pPr>
      <w:r>
        <w:t xml:space="preserve">Develop and maintain effective relationships with early childhood education centres, schools, and wider school communities.    </w:t>
      </w:r>
    </w:p>
    <w:p w14:paraId="43B1252B" w14:textId="77777777" w:rsidR="001062C8" w:rsidRDefault="003E47BC">
      <w:pPr>
        <w:numPr>
          <w:ilvl w:val="0"/>
          <w:numId w:val="6"/>
        </w:numPr>
        <w:ind w:hanging="360"/>
      </w:pPr>
      <w:r>
        <w:t xml:space="preserve">Identify stakeholder engagement opportunities and promote Open Polytechnic programmes across the polytechnic’s external networks  </w:t>
      </w:r>
    </w:p>
    <w:p w14:paraId="7DEBCA78" w14:textId="46A9368D" w:rsidR="001062C8" w:rsidRDefault="003E47BC">
      <w:pPr>
        <w:numPr>
          <w:ilvl w:val="0"/>
          <w:numId w:val="6"/>
        </w:numPr>
        <w:ind w:hanging="360"/>
      </w:pPr>
      <w:r>
        <w:t xml:space="preserve">Work closely with School Principals to identify and drive enrolment opportunities </w:t>
      </w:r>
    </w:p>
    <w:p w14:paraId="59C3545B" w14:textId="77777777" w:rsidR="001062C8" w:rsidRDefault="003E47BC">
      <w:pPr>
        <w:numPr>
          <w:ilvl w:val="0"/>
          <w:numId w:val="6"/>
        </w:numPr>
        <w:ind w:hanging="360"/>
      </w:pPr>
      <w:r>
        <w:t xml:space="preserve">Regular engagement with local schools to ensure clear communication and resolution of issues </w:t>
      </w:r>
    </w:p>
    <w:p w14:paraId="3587FD27" w14:textId="77777777" w:rsidR="001062C8" w:rsidRDefault="003E47BC">
      <w:pPr>
        <w:numPr>
          <w:ilvl w:val="0"/>
          <w:numId w:val="6"/>
        </w:numPr>
        <w:spacing w:after="0"/>
        <w:ind w:hanging="360"/>
      </w:pPr>
      <w:r>
        <w:t xml:space="preserve">Provide ongoing support for mentor teachers, partner, and practicum schools </w:t>
      </w:r>
    </w:p>
    <w:p w14:paraId="3D078FB1" w14:textId="77777777" w:rsidR="001062C8" w:rsidRDefault="003E47BC">
      <w:pPr>
        <w:spacing w:after="38" w:line="259" w:lineRule="auto"/>
        <w:ind w:left="360" w:firstLine="0"/>
      </w:pPr>
      <w:r>
        <w:t xml:space="preserve"> </w:t>
      </w:r>
    </w:p>
    <w:p w14:paraId="662060ED" w14:textId="77777777" w:rsidR="001062C8" w:rsidRDefault="003E47BC">
      <w:pPr>
        <w:pStyle w:val="Heading2"/>
        <w:spacing w:after="17"/>
        <w:ind w:left="-5"/>
      </w:pPr>
      <w:r>
        <w:t xml:space="preserve">Expected Results </w:t>
      </w:r>
    </w:p>
    <w:p w14:paraId="033345F5" w14:textId="77777777" w:rsidR="001062C8" w:rsidRDefault="003E47BC">
      <w:pPr>
        <w:spacing w:after="26" w:line="259" w:lineRule="auto"/>
        <w:ind w:left="0" w:firstLine="0"/>
      </w:pPr>
      <w:r>
        <w:rPr>
          <w:b/>
          <w:sz w:val="22"/>
        </w:rPr>
        <w:t xml:space="preserve"> </w:t>
      </w:r>
    </w:p>
    <w:p w14:paraId="610F8405" w14:textId="77777777" w:rsidR="001062C8" w:rsidRDefault="003E47BC">
      <w:pPr>
        <w:numPr>
          <w:ilvl w:val="0"/>
          <w:numId w:val="7"/>
        </w:numPr>
        <w:ind w:hanging="360"/>
      </w:pPr>
      <w:r>
        <w:t xml:space="preserve">The external stakeholders are effectively managed and supported </w:t>
      </w:r>
    </w:p>
    <w:p w14:paraId="2B48A09E" w14:textId="77777777" w:rsidR="001062C8" w:rsidRDefault="003E47BC">
      <w:pPr>
        <w:numPr>
          <w:ilvl w:val="0"/>
          <w:numId w:val="7"/>
        </w:numPr>
        <w:spacing w:after="21"/>
        <w:ind w:hanging="360"/>
      </w:pPr>
      <w:r>
        <w:t xml:space="preserve">Positive ongoing relationships across the polytechnic’s external networks  </w:t>
      </w:r>
    </w:p>
    <w:p w14:paraId="1C468DFD" w14:textId="35D7552E" w:rsidR="001062C8" w:rsidRDefault="003E47BC">
      <w:pPr>
        <w:numPr>
          <w:ilvl w:val="0"/>
          <w:numId w:val="7"/>
        </w:numPr>
        <w:ind w:hanging="360"/>
      </w:pPr>
      <w:r>
        <w:t xml:space="preserve">Programmes are delivered in line with </w:t>
      </w:r>
      <w:r w:rsidR="007E52E3">
        <w:t>Open Polytechnic</w:t>
      </w:r>
      <w:r w:rsidR="000F7774">
        <w:t xml:space="preserve">s </w:t>
      </w:r>
      <w:r>
        <w:t xml:space="preserve">quality assurance and accreditation requirements </w:t>
      </w:r>
    </w:p>
    <w:p w14:paraId="7F67190C" w14:textId="3F2DF2C1" w:rsidR="001062C8" w:rsidRDefault="001062C8" w:rsidP="007E52E3">
      <w:pPr>
        <w:spacing w:after="17" w:line="259" w:lineRule="auto"/>
        <w:ind w:left="0" w:firstLine="0"/>
      </w:pPr>
    </w:p>
    <w:p w14:paraId="3138DB32" w14:textId="77777777" w:rsidR="001062C8" w:rsidRDefault="003E47BC">
      <w:pPr>
        <w:spacing w:after="28" w:line="259" w:lineRule="auto"/>
        <w:ind w:left="0" w:firstLine="0"/>
      </w:pPr>
      <w:r>
        <w:rPr>
          <w:b/>
          <w:sz w:val="22"/>
        </w:rPr>
        <w:t xml:space="preserve"> </w:t>
      </w:r>
    </w:p>
    <w:p w14:paraId="6D3DCE20" w14:textId="77777777" w:rsidR="001062C8" w:rsidRDefault="003E47BC">
      <w:pPr>
        <w:spacing w:after="259" w:line="259" w:lineRule="auto"/>
        <w:ind w:left="-5"/>
      </w:pPr>
      <w:r>
        <w:rPr>
          <w:b/>
          <w:sz w:val="22"/>
        </w:rPr>
        <w:t>3.</w:t>
      </w:r>
      <w:r>
        <w:rPr>
          <w:rFonts w:ascii="Arial" w:eastAsia="Arial" w:hAnsi="Arial" w:cs="Arial"/>
          <w:b/>
          <w:sz w:val="22"/>
        </w:rPr>
        <w:t xml:space="preserve"> </w:t>
      </w:r>
      <w:r>
        <w:rPr>
          <w:b/>
          <w:sz w:val="22"/>
        </w:rPr>
        <w:t xml:space="preserve">Pastoral care and support </w:t>
      </w:r>
    </w:p>
    <w:p w14:paraId="77198DF8" w14:textId="77777777" w:rsidR="001062C8" w:rsidRDefault="003E47BC">
      <w:pPr>
        <w:pStyle w:val="Heading2"/>
        <w:ind w:left="-5"/>
      </w:pPr>
      <w:r>
        <w:t xml:space="preserve">Accountability </w:t>
      </w:r>
    </w:p>
    <w:p w14:paraId="2A68561C" w14:textId="77777777" w:rsidR="001062C8" w:rsidRDefault="003E47BC">
      <w:pPr>
        <w:numPr>
          <w:ilvl w:val="0"/>
          <w:numId w:val="11"/>
        </w:numPr>
        <w:ind w:hanging="360"/>
      </w:pPr>
      <w:r>
        <w:t xml:space="preserve">The welfare and wellbeing of </w:t>
      </w:r>
      <w:proofErr w:type="spellStart"/>
      <w:r>
        <w:t>ākonga</w:t>
      </w:r>
      <w:proofErr w:type="spellEnd"/>
      <w:r>
        <w:t xml:space="preserve"> participating in Open Polytechnic’s Initial Teacher Education Programmes is assured when experiencing workplace-based learning activities </w:t>
      </w:r>
    </w:p>
    <w:p w14:paraId="7FBC431D" w14:textId="77777777" w:rsidR="001062C8" w:rsidRDefault="003E47BC">
      <w:pPr>
        <w:numPr>
          <w:ilvl w:val="0"/>
          <w:numId w:val="11"/>
        </w:numPr>
        <w:spacing w:after="21"/>
        <w:ind w:hanging="360"/>
      </w:pPr>
      <w:r>
        <w:t xml:space="preserve">The polytechnic’s obligations to </w:t>
      </w:r>
      <w:proofErr w:type="spellStart"/>
      <w:r>
        <w:t>ākonga</w:t>
      </w:r>
      <w:proofErr w:type="spellEnd"/>
      <w:r>
        <w:t xml:space="preserve"> as established through the Education </w:t>
      </w:r>
    </w:p>
    <w:p w14:paraId="7467B2A8" w14:textId="77777777" w:rsidR="001062C8" w:rsidRDefault="003E47BC">
      <w:pPr>
        <w:ind w:left="370"/>
      </w:pPr>
      <w:r>
        <w:lastRenderedPageBreak/>
        <w:t xml:space="preserve">(Pastoral Care of Tertiary and International Learners) Code of Practice 2021 are met </w:t>
      </w:r>
    </w:p>
    <w:p w14:paraId="493DD270" w14:textId="77777777" w:rsidR="001062C8" w:rsidRDefault="003E47BC">
      <w:pPr>
        <w:numPr>
          <w:ilvl w:val="0"/>
          <w:numId w:val="11"/>
        </w:numPr>
        <w:spacing w:after="267"/>
        <w:ind w:hanging="360"/>
      </w:pPr>
      <w:r>
        <w:t xml:space="preserve">Effective management of the health and safety interface between early childhood education centres, and primary and secondary schools, the Open Polytechnic and </w:t>
      </w:r>
      <w:proofErr w:type="spellStart"/>
      <w:r>
        <w:t>ākonga</w:t>
      </w:r>
      <w:proofErr w:type="spellEnd"/>
      <w:r>
        <w:t xml:space="preserve"> engaged in workplace-based learning activities </w:t>
      </w:r>
    </w:p>
    <w:p w14:paraId="63BEF2D2" w14:textId="77777777" w:rsidR="001062C8" w:rsidRDefault="003E47BC">
      <w:pPr>
        <w:pStyle w:val="Heading2"/>
        <w:ind w:left="-5"/>
      </w:pPr>
      <w:r>
        <w:t xml:space="preserve">Responsibilities </w:t>
      </w:r>
    </w:p>
    <w:p w14:paraId="2F763DDA" w14:textId="77777777" w:rsidR="001062C8" w:rsidRDefault="003E47BC">
      <w:pPr>
        <w:numPr>
          <w:ilvl w:val="0"/>
          <w:numId w:val="12"/>
        </w:numPr>
        <w:ind w:hanging="360"/>
      </w:pPr>
      <w:r>
        <w:t xml:space="preserve">Ensure pastoral support for partner schools and </w:t>
      </w:r>
      <w:proofErr w:type="spellStart"/>
      <w:r>
        <w:t>ākonga</w:t>
      </w:r>
      <w:proofErr w:type="spellEnd"/>
      <w:r>
        <w:t xml:space="preserve"> through regular and effective communication. </w:t>
      </w:r>
    </w:p>
    <w:p w14:paraId="662FACAF" w14:textId="60C6B93E" w:rsidR="001062C8" w:rsidRDefault="003E47BC">
      <w:pPr>
        <w:numPr>
          <w:ilvl w:val="0"/>
          <w:numId w:val="12"/>
        </w:numPr>
        <w:spacing w:after="21"/>
        <w:ind w:hanging="360"/>
      </w:pPr>
      <w:r>
        <w:t xml:space="preserve">Promote Open Polytechnic’s support services to </w:t>
      </w:r>
      <w:proofErr w:type="spellStart"/>
      <w:r>
        <w:t>ākonga</w:t>
      </w:r>
      <w:proofErr w:type="spellEnd"/>
      <w:r>
        <w:t xml:space="preserve"> through the partner schools </w:t>
      </w:r>
    </w:p>
    <w:p w14:paraId="4E00A345" w14:textId="77777777" w:rsidR="001062C8" w:rsidRDefault="003E47BC">
      <w:pPr>
        <w:numPr>
          <w:ilvl w:val="0"/>
          <w:numId w:val="12"/>
        </w:numPr>
        <w:spacing w:after="267"/>
        <w:ind w:hanging="360"/>
      </w:pPr>
      <w:r>
        <w:t xml:space="preserve">Consult and cooperate health and safety activities/processes with early childhood education centres, primary and secondary schools to meet shared health and safety responsibilities   </w:t>
      </w:r>
    </w:p>
    <w:p w14:paraId="098464E9" w14:textId="77777777" w:rsidR="001062C8" w:rsidRDefault="003E47BC">
      <w:pPr>
        <w:pStyle w:val="Heading2"/>
        <w:ind w:left="-5"/>
      </w:pPr>
      <w:r>
        <w:t xml:space="preserve">Expected Results </w:t>
      </w:r>
    </w:p>
    <w:p w14:paraId="37200621" w14:textId="77777777" w:rsidR="001062C8" w:rsidRDefault="003E47BC">
      <w:pPr>
        <w:numPr>
          <w:ilvl w:val="0"/>
          <w:numId w:val="13"/>
        </w:numPr>
        <w:spacing w:after="21"/>
        <w:ind w:hanging="360"/>
      </w:pPr>
      <w:proofErr w:type="spellStart"/>
      <w:r>
        <w:t>Ākonga</w:t>
      </w:r>
      <w:proofErr w:type="spellEnd"/>
      <w:r>
        <w:t xml:space="preserve"> awareness of the Code and Open Polytechnic’s </w:t>
      </w:r>
      <w:proofErr w:type="spellStart"/>
      <w:r>
        <w:t>ākonga</w:t>
      </w:r>
      <w:proofErr w:type="spellEnd"/>
      <w:r>
        <w:t xml:space="preserve"> facing services  </w:t>
      </w:r>
    </w:p>
    <w:p w14:paraId="6297DE67" w14:textId="77777777" w:rsidR="001062C8" w:rsidRDefault="003E47BC">
      <w:pPr>
        <w:numPr>
          <w:ilvl w:val="0"/>
          <w:numId w:val="13"/>
        </w:numPr>
        <w:ind w:hanging="360"/>
      </w:pPr>
      <w:r>
        <w:t xml:space="preserve">Open Polytechnic is regularly provided with </w:t>
      </w:r>
      <w:proofErr w:type="spellStart"/>
      <w:r>
        <w:t>ākonga</w:t>
      </w:r>
      <w:proofErr w:type="spellEnd"/>
      <w:r>
        <w:t xml:space="preserve"> feedback about its learning delivery and </w:t>
      </w:r>
      <w:proofErr w:type="spellStart"/>
      <w:r>
        <w:t>ākonga</w:t>
      </w:r>
      <w:proofErr w:type="spellEnd"/>
      <w:r>
        <w:t xml:space="preserve"> facing services   </w:t>
      </w:r>
    </w:p>
    <w:p w14:paraId="773BFB05" w14:textId="77777777" w:rsidR="001062C8" w:rsidRDefault="003E47BC">
      <w:pPr>
        <w:numPr>
          <w:ilvl w:val="0"/>
          <w:numId w:val="13"/>
        </w:numPr>
        <w:spacing w:after="8"/>
        <w:ind w:hanging="360"/>
      </w:pPr>
      <w:r>
        <w:t xml:space="preserve">Early childhood education centres, primary and secondary schools have documented health and safety policies and plans that relate to the activities that are undertaken by the polytechnic’s </w:t>
      </w:r>
      <w:proofErr w:type="spellStart"/>
      <w:r>
        <w:t>kaimahi</w:t>
      </w:r>
      <w:proofErr w:type="spellEnd"/>
      <w:r>
        <w:t xml:space="preserve"> and </w:t>
      </w:r>
      <w:proofErr w:type="spellStart"/>
      <w:r>
        <w:t>ākonga</w:t>
      </w:r>
      <w:proofErr w:type="spellEnd"/>
      <w:r>
        <w:t xml:space="preserve"> in workplace-based settings </w:t>
      </w:r>
    </w:p>
    <w:p w14:paraId="5319D458" w14:textId="77777777" w:rsidR="001062C8" w:rsidRDefault="003E47BC">
      <w:pPr>
        <w:spacing w:after="52" w:line="259" w:lineRule="auto"/>
        <w:ind w:left="0" w:firstLine="0"/>
      </w:pPr>
      <w:r>
        <w:t xml:space="preserve">  </w:t>
      </w:r>
    </w:p>
    <w:p w14:paraId="20F4129B" w14:textId="77777777" w:rsidR="001062C8" w:rsidRDefault="003E47BC">
      <w:pPr>
        <w:spacing w:after="259" w:line="259" w:lineRule="auto"/>
        <w:ind w:left="-5"/>
      </w:pPr>
      <w:r>
        <w:rPr>
          <w:b/>
          <w:sz w:val="22"/>
        </w:rPr>
        <w:t>4.</w:t>
      </w:r>
      <w:r>
        <w:rPr>
          <w:rFonts w:ascii="Arial" w:eastAsia="Arial" w:hAnsi="Arial" w:cs="Arial"/>
          <w:b/>
          <w:sz w:val="22"/>
        </w:rPr>
        <w:t xml:space="preserve"> </w:t>
      </w:r>
      <w:r>
        <w:rPr>
          <w:b/>
          <w:sz w:val="22"/>
        </w:rPr>
        <w:t xml:space="preserve">Programme Delivery </w:t>
      </w:r>
    </w:p>
    <w:p w14:paraId="4E7A8798" w14:textId="77777777" w:rsidR="001062C8" w:rsidRDefault="003E47BC">
      <w:pPr>
        <w:pStyle w:val="Heading2"/>
        <w:ind w:left="-5"/>
      </w:pPr>
      <w:r>
        <w:t xml:space="preserve">Accountability </w:t>
      </w:r>
    </w:p>
    <w:p w14:paraId="4DB0B067" w14:textId="77777777" w:rsidR="001062C8" w:rsidRDefault="003E47BC">
      <w:pPr>
        <w:numPr>
          <w:ilvl w:val="0"/>
          <w:numId w:val="14"/>
        </w:numPr>
        <w:ind w:hanging="360"/>
      </w:pPr>
      <w:r>
        <w:t xml:space="preserve">Manage relationships with external stakeholders involved in the delivery of ITE programmes  </w:t>
      </w:r>
    </w:p>
    <w:p w14:paraId="0E6C45A0" w14:textId="77777777" w:rsidR="001062C8" w:rsidRDefault="003E47BC">
      <w:pPr>
        <w:numPr>
          <w:ilvl w:val="0"/>
          <w:numId w:val="14"/>
        </w:numPr>
        <w:ind w:hanging="360"/>
      </w:pPr>
      <w:r>
        <w:t xml:space="preserve">Seek feedback from the external stakeholders and </w:t>
      </w:r>
      <w:proofErr w:type="spellStart"/>
      <w:r>
        <w:t>ākonga</w:t>
      </w:r>
      <w:proofErr w:type="spellEnd"/>
      <w:r>
        <w:t xml:space="preserve"> on quality of service provided  </w:t>
      </w:r>
    </w:p>
    <w:p w14:paraId="6AB7B54F" w14:textId="77777777" w:rsidR="001062C8" w:rsidRDefault="003E47BC">
      <w:pPr>
        <w:numPr>
          <w:ilvl w:val="0"/>
          <w:numId w:val="14"/>
        </w:numPr>
        <w:ind w:hanging="360"/>
      </w:pPr>
      <w:r>
        <w:t xml:space="preserve">Oversee the recruitment and selection process of applicants for the programmes. </w:t>
      </w:r>
    </w:p>
    <w:p w14:paraId="24B37BA8" w14:textId="77777777" w:rsidR="001062C8" w:rsidRDefault="003E47BC">
      <w:pPr>
        <w:numPr>
          <w:ilvl w:val="0"/>
          <w:numId w:val="14"/>
        </w:numPr>
        <w:ind w:hanging="360"/>
      </w:pPr>
      <w:r>
        <w:t xml:space="preserve">Support intake process for programmes including Enrolments and Academic Registry liaison </w:t>
      </w:r>
    </w:p>
    <w:p w14:paraId="149B9B59" w14:textId="77777777" w:rsidR="001062C8" w:rsidRDefault="003E47BC">
      <w:pPr>
        <w:numPr>
          <w:ilvl w:val="0"/>
          <w:numId w:val="14"/>
        </w:numPr>
        <w:ind w:hanging="360"/>
      </w:pPr>
      <w:r>
        <w:t xml:space="preserve">Ensure that programmes are successfully delivered to meet the Open Polytechnic’s academic regulation requirements and external quality assurance and accreditation requirements </w:t>
      </w:r>
    </w:p>
    <w:p w14:paraId="30A36B77" w14:textId="77777777" w:rsidR="001062C8" w:rsidRDefault="003E47BC">
      <w:pPr>
        <w:numPr>
          <w:ilvl w:val="0"/>
          <w:numId w:val="14"/>
        </w:numPr>
        <w:spacing w:after="253"/>
        <w:ind w:hanging="360"/>
      </w:pPr>
      <w:r>
        <w:t xml:space="preserve">Investigate complaints and other issues connected to practicums  </w:t>
      </w:r>
    </w:p>
    <w:p w14:paraId="085E8EAC" w14:textId="77777777" w:rsidR="001062C8" w:rsidRDefault="003E47BC">
      <w:pPr>
        <w:pStyle w:val="Heading2"/>
        <w:ind w:left="-5"/>
      </w:pPr>
      <w:r>
        <w:t xml:space="preserve">Responsibilities </w:t>
      </w:r>
    </w:p>
    <w:p w14:paraId="2E94192D" w14:textId="42BD6547" w:rsidR="001062C8" w:rsidRDefault="003E47BC">
      <w:pPr>
        <w:numPr>
          <w:ilvl w:val="0"/>
          <w:numId w:val="15"/>
        </w:numPr>
        <w:ind w:hanging="360"/>
      </w:pPr>
      <w:r>
        <w:t xml:space="preserve">Provide feedback from early childhood education centres, partner schools to Programme Delivery Managers on course and programme delivery matters  </w:t>
      </w:r>
    </w:p>
    <w:p w14:paraId="0296B223" w14:textId="77777777" w:rsidR="001062C8" w:rsidRDefault="003E47BC">
      <w:pPr>
        <w:numPr>
          <w:ilvl w:val="0"/>
          <w:numId w:val="15"/>
        </w:numPr>
        <w:ind w:hanging="360"/>
      </w:pPr>
      <w:r>
        <w:t xml:space="preserve">Ensure appropriate student reference checks (and pre-enrolment assessment checks where applicable) are undertaken </w:t>
      </w:r>
    </w:p>
    <w:p w14:paraId="6A3C9392" w14:textId="77777777" w:rsidR="001062C8" w:rsidRDefault="003E47BC">
      <w:pPr>
        <w:numPr>
          <w:ilvl w:val="0"/>
          <w:numId w:val="15"/>
        </w:numPr>
        <w:ind w:hanging="360"/>
      </w:pPr>
      <w:r>
        <w:t xml:space="preserve">Monitor and report the delivery of programmes and student progress  </w:t>
      </w:r>
    </w:p>
    <w:p w14:paraId="30F64459" w14:textId="77777777" w:rsidR="001062C8" w:rsidRDefault="003E47BC">
      <w:pPr>
        <w:numPr>
          <w:ilvl w:val="0"/>
          <w:numId w:val="15"/>
        </w:numPr>
        <w:spacing w:after="251"/>
        <w:ind w:hanging="360"/>
      </w:pPr>
      <w:r>
        <w:t xml:space="preserve">Play an active role in improving the delivery of ITE programmes     </w:t>
      </w:r>
    </w:p>
    <w:p w14:paraId="72A8E1EC" w14:textId="77777777" w:rsidR="001062C8" w:rsidRDefault="003E47BC">
      <w:pPr>
        <w:pStyle w:val="Heading2"/>
        <w:ind w:left="-5"/>
      </w:pPr>
      <w:r>
        <w:t xml:space="preserve">Expected Results </w:t>
      </w:r>
    </w:p>
    <w:p w14:paraId="53F00189" w14:textId="77777777" w:rsidR="001062C8" w:rsidRDefault="003E47BC">
      <w:pPr>
        <w:numPr>
          <w:ilvl w:val="0"/>
          <w:numId w:val="16"/>
        </w:numPr>
        <w:ind w:hanging="360"/>
      </w:pPr>
      <w:r>
        <w:t xml:space="preserve">Appropriate programme input given to the Programme Delivery Manager </w:t>
      </w:r>
    </w:p>
    <w:p w14:paraId="3977C6B4" w14:textId="77777777" w:rsidR="001062C8" w:rsidRDefault="003E47BC">
      <w:pPr>
        <w:numPr>
          <w:ilvl w:val="0"/>
          <w:numId w:val="16"/>
        </w:numPr>
        <w:ind w:hanging="360"/>
      </w:pPr>
      <w:r>
        <w:lastRenderedPageBreak/>
        <w:t xml:space="preserve">Programmes are successfully delivered </w:t>
      </w:r>
    </w:p>
    <w:p w14:paraId="430EAA60" w14:textId="77777777" w:rsidR="001062C8" w:rsidRDefault="003E47BC">
      <w:pPr>
        <w:numPr>
          <w:ilvl w:val="0"/>
          <w:numId w:val="16"/>
        </w:numPr>
        <w:ind w:hanging="360"/>
      </w:pPr>
      <w:r>
        <w:t xml:space="preserve">Programme completion, retention and progression are met  </w:t>
      </w:r>
    </w:p>
    <w:p w14:paraId="24AB0D8D" w14:textId="77777777" w:rsidR="001062C8" w:rsidRDefault="003E47BC">
      <w:pPr>
        <w:numPr>
          <w:ilvl w:val="0"/>
          <w:numId w:val="16"/>
        </w:numPr>
        <w:ind w:hanging="360"/>
      </w:pPr>
      <w:r>
        <w:t xml:space="preserve">Programme delivery issues are resolved in a fast and professional manner   </w:t>
      </w:r>
    </w:p>
    <w:p w14:paraId="5133AA8C" w14:textId="77777777" w:rsidR="001062C8" w:rsidRDefault="003E47BC">
      <w:pPr>
        <w:numPr>
          <w:ilvl w:val="0"/>
          <w:numId w:val="16"/>
        </w:numPr>
        <w:ind w:hanging="360"/>
      </w:pPr>
      <w:proofErr w:type="spellStart"/>
      <w:r>
        <w:t>Ākonga</w:t>
      </w:r>
      <w:proofErr w:type="spellEnd"/>
      <w:r>
        <w:t xml:space="preserve"> overall satisfaction is in line with the organisational targets.  </w:t>
      </w:r>
    </w:p>
    <w:p w14:paraId="46228BE9" w14:textId="77777777" w:rsidR="001062C8" w:rsidRDefault="003E47BC">
      <w:pPr>
        <w:spacing w:after="187" w:line="259" w:lineRule="auto"/>
        <w:ind w:left="0" w:firstLine="0"/>
      </w:pPr>
      <w:r>
        <w:rPr>
          <w:sz w:val="22"/>
        </w:rPr>
        <w:t xml:space="preserve"> </w:t>
      </w:r>
    </w:p>
    <w:p w14:paraId="365E3553" w14:textId="77777777" w:rsidR="001062C8" w:rsidRDefault="003E47BC">
      <w:pPr>
        <w:spacing w:after="259" w:line="259" w:lineRule="auto"/>
        <w:ind w:left="-5"/>
      </w:pPr>
      <w:r>
        <w:rPr>
          <w:b/>
          <w:sz w:val="22"/>
        </w:rPr>
        <w:t>5.</w:t>
      </w:r>
      <w:r>
        <w:rPr>
          <w:rFonts w:ascii="Arial" w:eastAsia="Arial" w:hAnsi="Arial" w:cs="Arial"/>
          <w:b/>
          <w:sz w:val="22"/>
        </w:rPr>
        <w:t xml:space="preserve"> </w:t>
      </w:r>
      <w:r>
        <w:rPr>
          <w:b/>
          <w:sz w:val="22"/>
        </w:rPr>
        <w:t xml:space="preserve">Professional Development  </w:t>
      </w:r>
    </w:p>
    <w:p w14:paraId="57307629" w14:textId="77777777" w:rsidR="001062C8" w:rsidRDefault="003E47BC">
      <w:pPr>
        <w:spacing w:after="164" w:line="259" w:lineRule="auto"/>
        <w:ind w:left="-5"/>
      </w:pPr>
      <w:r>
        <w:rPr>
          <w:b/>
          <w:sz w:val="22"/>
        </w:rPr>
        <w:t xml:space="preserve">Accountability </w:t>
      </w:r>
    </w:p>
    <w:p w14:paraId="7931E7E5" w14:textId="77777777" w:rsidR="001062C8" w:rsidRDefault="003E47BC">
      <w:pPr>
        <w:tabs>
          <w:tab w:val="center" w:pos="2566"/>
        </w:tabs>
        <w:spacing w:after="254"/>
        <w:ind w:left="-15"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Maintain and develop professional expertise  </w:t>
      </w:r>
    </w:p>
    <w:p w14:paraId="0A9A36B4" w14:textId="77777777" w:rsidR="001062C8" w:rsidRDefault="003E47BC">
      <w:pPr>
        <w:pStyle w:val="Heading2"/>
        <w:ind w:left="-5"/>
      </w:pPr>
      <w:r>
        <w:t xml:space="preserve">Responsibilities </w:t>
      </w:r>
    </w:p>
    <w:p w14:paraId="59314A44" w14:textId="77777777" w:rsidR="001062C8" w:rsidRDefault="003E47BC">
      <w:pPr>
        <w:numPr>
          <w:ilvl w:val="0"/>
          <w:numId w:val="17"/>
        </w:numPr>
        <w:ind w:hanging="360"/>
      </w:pPr>
      <w:r>
        <w:t xml:space="preserve">Maintain and develop own professional and technical knowledge and skills </w:t>
      </w:r>
    </w:p>
    <w:p w14:paraId="52FAF95B" w14:textId="77777777" w:rsidR="001062C8" w:rsidRDefault="003E47BC">
      <w:pPr>
        <w:numPr>
          <w:ilvl w:val="0"/>
          <w:numId w:val="17"/>
        </w:numPr>
        <w:ind w:hanging="360"/>
      </w:pPr>
      <w:r>
        <w:t xml:space="preserve">Keep </w:t>
      </w:r>
      <w:proofErr w:type="gramStart"/>
      <w:r>
        <w:t>up-to-date</w:t>
      </w:r>
      <w:proofErr w:type="gramEnd"/>
      <w:r>
        <w:t xml:space="preserve"> with national developments in open learning and relevant academic disciplines </w:t>
      </w:r>
    </w:p>
    <w:p w14:paraId="013CEC0F" w14:textId="77777777" w:rsidR="001062C8" w:rsidRDefault="003E47BC">
      <w:pPr>
        <w:numPr>
          <w:ilvl w:val="0"/>
          <w:numId w:val="17"/>
        </w:numPr>
        <w:ind w:hanging="360"/>
      </w:pPr>
      <w:r>
        <w:t xml:space="preserve">Participate in work-related conference, seminars and development activities as agreed with Programme Delivery Manager </w:t>
      </w:r>
    </w:p>
    <w:p w14:paraId="1938A051" w14:textId="77777777" w:rsidR="001062C8" w:rsidRDefault="003E47BC">
      <w:pPr>
        <w:numPr>
          <w:ilvl w:val="0"/>
          <w:numId w:val="17"/>
        </w:numPr>
        <w:ind w:hanging="360"/>
      </w:pPr>
      <w:r>
        <w:t xml:space="preserve">Build appropriate professional networks and external relationships  </w:t>
      </w:r>
    </w:p>
    <w:p w14:paraId="2C6B04FE" w14:textId="77777777" w:rsidR="001062C8" w:rsidRDefault="003E47BC">
      <w:pPr>
        <w:numPr>
          <w:ilvl w:val="0"/>
          <w:numId w:val="17"/>
        </w:numPr>
        <w:spacing w:after="6"/>
        <w:ind w:hanging="360"/>
      </w:pPr>
      <w:r>
        <w:t xml:space="preserve">Contribute to the development of Open Polytechnic policy/management papers where applicable  </w:t>
      </w:r>
    </w:p>
    <w:p w14:paraId="20AB40C8" w14:textId="77777777" w:rsidR="001062C8" w:rsidRDefault="003E47BC">
      <w:pPr>
        <w:spacing w:after="278" w:line="259" w:lineRule="auto"/>
        <w:ind w:left="360" w:firstLine="0"/>
      </w:pPr>
      <w:r>
        <w:t xml:space="preserve"> </w:t>
      </w:r>
    </w:p>
    <w:p w14:paraId="64E0F2D6" w14:textId="77777777" w:rsidR="001062C8" w:rsidRDefault="003E47BC">
      <w:pPr>
        <w:pStyle w:val="Heading2"/>
        <w:ind w:left="-5"/>
      </w:pPr>
      <w:r>
        <w:t xml:space="preserve">Expected Results </w:t>
      </w:r>
    </w:p>
    <w:p w14:paraId="24D0EA73" w14:textId="77777777" w:rsidR="001062C8" w:rsidRDefault="003E47BC">
      <w:pPr>
        <w:ind w:left="34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Professional expertise is developed and used to contribute to the achievement of both student and Open Polytechnic academic objectives  </w:t>
      </w:r>
    </w:p>
    <w:p w14:paraId="7DBF12BE" w14:textId="77777777" w:rsidR="001062C8" w:rsidRDefault="003E47BC">
      <w:pPr>
        <w:spacing w:after="210" w:line="259" w:lineRule="auto"/>
        <w:ind w:left="0" w:firstLine="0"/>
      </w:pPr>
      <w:r>
        <w:t xml:space="preserve"> </w:t>
      </w:r>
    </w:p>
    <w:p w14:paraId="263F027A" w14:textId="77777777" w:rsidR="001062C8" w:rsidRDefault="003E47BC">
      <w:pPr>
        <w:spacing w:after="259" w:line="259" w:lineRule="auto"/>
        <w:ind w:left="-5"/>
      </w:pPr>
      <w:r>
        <w:rPr>
          <w:b/>
          <w:sz w:val="22"/>
        </w:rPr>
        <w:t>6.</w:t>
      </w:r>
      <w:r>
        <w:rPr>
          <w:rFonts w:ascii="Arial" w:eastAsia="Arial" w:hAnsi="Arial" w:cs="Arial"/>
          <w:b/>
          <w:sz w:val="22"/>
        </w:rPr>
        <w:t xml:space="preserve"> </w:t>
      </w:r>
      <w:r>
        <w:rPr>
          <w:b/>
          <w:sz w:val="22"/>
        </w:rPr>
        <w:t xml:space="preserve">Organisation Contribution </w:t>
      </w:r>
    </w:p>
    <w:p w14:paraId="5A4EDB1C" w14:textId="77777777" w:rsidR="001062C8" w:rsidRDefault="003E47BC">
      <w:pPr>
        <w:pStyle w:val="Heading2"/>
        <w:ind w:left="-5"/>
      </w:pPr>
      <w:r>
        <w:t xml:space="preserve">Accountability </w:t>
      </w:r>
    </w:p>
    <w:p w14:paraId="1E38A461" w14:textId="77777777" w:rsidR="001062C8" w:rsidRDefault="003E47BC">
      <w:pPr>
        <w:numPr>
          <w:ilvl w:val="0"/>
          <w:numId w:val="18"/>
        </w:numPr>
        <w:ind w:hanging="360"/>
      </w:pPr>
      <w:r>
        <w:t xml:space="preserve">Contribute to the organisational culture of Open Polytechnic </w:t>
      </w:r>
    </w:p>
    <w:p w14:paraId="7E06E398" w14:textId="77777777" w:rsidR="001062C8" w:rsidRDefault="003E47BC">
      <w:pPr>
        <w:numPr>
          <w:ilvl w:val="0"/>
          <w:numId w:val="18"/>
        </w:numPr>
        <w:ind w:hanging="360"/>
      </w:pPr>
      <w:r>
        <w:t xml:space="preserve">Contribute positively to the performance and profile of Learning Delivery and the Open Polytechnic </w:t>
      </w:r>
    </w:p>
    <w:p w14:paraId="69562D8F" w14:textId="77777777" w:rsidR="001062C8" w:rsidRDefault="003E47BC">
      <w:pPr>
        <w:numPr>
          <w:ilvl w:val="0"/>
          <w:numId w:val="18"/>
        </w:numPr>
        <w:ind w:hanging="360"/>
      </w:pPr>
      <w:r>
        <w:t xml:space="preserve">Champion health and safety in the workplace </w:t>
      </w:r>
    </w:p>
    <w:p w14:paraId="2A1EC428" w14:textId="77777777" w:rsidR="001062C8" w:rsidRDefault="003E47BC">
      <w:pPr>
        <w:numPr>
          <w:ilvl w:val="0"/>
          <w:numId w:val="18"/>
        </w:numPr>
        <w:spacing w:after="253"/>
        <w:ind w:hanging="360"/>
      </w:pPr>
      <w:r>
        <w:t xml:space="preserve">Participate in Open Polytechnic team projects and processes. </w:t>
      </w:r>
    </w:p>
    <w:p w14:paraId="7957FA02" w14:textId="77777777" w:rsidR="001062C8" w:rsidRDefault="003E47BC">
      <w:pPr>
        <w:pStyle w:val="Heading2"/>
        <w:ind w:left="-5"/>
      </w:pPr>
      <w:r>
        <w:t xml:space="preserve">Responsibilities </w:t>
      </w:r>
    </w:p>
    <w:p w14:paraId="3F1F29DE" w14:textId="77777777" w:rsidR="001062C8" w:rsidRDefault="003E47BC">
      <w:pPr>
        <w:numPr>
          <w:ilvl w:val="0"/>
          <w:numId w:val="19"/>
        </w:numPr>
        <w:ind w:hanging="360"/>
      </w:pPr>
      <w:r>
        <w:t xml:space="preserve">Understand the work of colleagues and contribute to team results through co-operative and collegial processes </w:t>
      </w:r>
    </w:p>
    <w:p w14:paraId="29960F54" w14:textId="77777777" w:rsidR="001062C8" w:rsidRDefault="003E47BC">
      <w:pPr>
        <w:numPr>
          <w:ilvl w:val="0"/>
          <w:numId w:val="19"/>
        </w:numPr>
        <w:ind w:hanging="360"/>
      </w:pPr>
      <w:r>
        <w:t xml:space="preserve">Contribute to Open Polytechnic academic committees and work groups </w:t>
      </w:r>
    </w:p>
    <w:p w14:paraId="7CD6CFA5" w14:textId="77777777" w:rsidR="001062C8" w:rsidRDefault="003E47BC">
      <w:pPr>
        <w:numPr>
          <w:ilvl w:val="0"/>
          <w:numId w:val="19"/>
        </w:numPr>
        <w:ind w:hanging="360"/>
      </w:pPr>
      <w:r>
        <w:t xml:space="preserve">Participate in Learning Delivery staff meetings </w:t>
      </w:r>
    </w:p>
    <w:p w14:paraId="57E8EDBE" w14:textId="77777777" w:rsidR="001062C8" w:rsidRDefault="003E47BC">
      <w:pPr>
        <w:numPr>
          <w:ilvl w:val="0"/>
          <w:numId w:val="19"/>
        </w:numPr>
        <w:ind w:hanging="360"/>
      </w:pPr>
      <w:r>
        <w:t xml:space="preserve">Maintain effective communication and working relationships within Learning Delivery and with other relevant Polytechnic staff  </w:t>
      </w:r>
    </w:p>
    <w:p w14:paraId="1DF57528" w14:textId="77777777" w:rsidR="001062C8" w:rsidRDefault="003E47BC">
      <w:pPr>
        <w:numPr>
          <w:ilvl w:val="0"/>
          <w:numId w:val="19"/>
        </w:numPr>
        <w:ind w:hanging="360"/>
      </w:pPr>
      <w:r>
        <w:t xml:space="preserve">Maintain quality and minimise risk, by working within the Polytechnic’s quality management system, and by managing risk in own work area. </w:t>
      </w:r>
    </w:p>
    <w:p w14:paraId="6C9C3EEB" w14:textId="77777777" w:rsidR="001062C8" w:rsidRDefault="003E47BC">
      <w:pPr>
        <w:numPr>
          <w:ilvl w:val="0"/>
          <w:numId w:val="19"/>
        </w:numPr>
        <w:ind w:hanging="360"/>
      </w:pPr>
      <w:r>
        <w:t xml:space="preserve">Commit to the Equal Employment Opportunity principles and their practice. </w:t>
      </w:r>
    </w:p>
    <w:p w14:paraId="4126B0D6" w14:textId="77777777" w:rsidR="001062C8" w:rsidRDefault="003E47BC">
      <w:pPr>
        <w:numPr>
          <w:ilvl w:val="0"/>
          <w:numId w:val="19"/>
        </w:numPr>
        <w:spacing w:after="270" w:line="269" w:lineRule="auto"/>
        <w:ind w:hanging="360"/>
      </w:pPr>
      <w:r>
        <w:lastRenderedPageBreak/>
        <w:t xml:space="preserve">Maintain knowledge of Health &amp; Safety </w:t>
      </w:r>
      <w:proofErr w:type="gramStart"/>
      <w:r>
        <w:t>procedures, and</w:t>
      </w:r>
      <w:proofErr w:type="gramEnd"/>
      <w:r>
        <w:t xml:space="preserve"> actively support safe work practices in the work area; take all practicable steps to ensure you don’t harm yourself or anyone else; and comply with H&amp;S procedures, in particular reporting all incidents and proactively identifying hazards.  </w:t>
      </w:r>
    </w:p>
    <w:p w14:paraId="045AD823" w14:textId="77777777" w:rsidR="001062C8" w:rsidRDefault="003E47BC">
      <w:pPr>
        <w:pStyle w:val="Heading2"/>
        <w:ind w:left="-5"/>
      </w:pPr>
      <w:r>
        <w:t xml:space="preserve">Expected Results </w:t>
      </w:r>
    </w:p>
    <w:p w14:paraId="2C227AC0" w14:textId="77777777" w:rsidR="001062C8" w:rsidRDefault="003E47BC">
      <w:pPr>
        <w:numPr>
          <w:ilvl w:val="0"/>
          <w:numId w:val="20"/>
        </w:numPr>
        <w:ind w:hanging="360"/>
      </w:pPr>
      <w:r>
        <w:t xml:space="preserve">Contribution to Polytechnic working groups is constructive and supportive of academic activity </w:t>
      </w:r>
    </w:p>
    <w:p w14:paraId="41CBEEE4" w14:textId="77777777" w:rsidR="001062C8" w:rsidRDefault="003E47BC">
      <w:pPr>
        <w:numPr>
          <w:ilvl w:val="0"/>
          <w:numId w:val="20"/>
        </w:numPr>
        <w:ind w:hanging="360"/>
      </w:pPr>
      <w:r>
        <w:t xml:space="preserve">Health and Safety procedures are followed in own area of work, and hazards reported appropriately as necessary  </w:t>
      </w:r>
    </w:p>
    <w:p w14:paraId="4798842F" w14:textId="77777777" w:rsidR="001062C8" w:rsidRDefault="003E47BC">
      <w:pPr>
        <w:numPr>
          <w:ilvl w:val="0"/>
          <w:numId w:val="20"/>
        </w:numPr>
        <w:ind w:hanging="360"/>
      </w:pPr>
      <w:r>
        <w:t xml:space="preserve">Quality issues are identified and raised with the Programme Delivery Manager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Positive commitment shown to Equal Education Opportunity principles  </w:t>
      </w:r>
    </w:p>
    <w:p w14:paraId="4113D35E" w14:textId="77777777" w:rsidR="001062C8" w:rsidRDefault="003E47BC">
      <w:pPr>
        <w:numPr>
          <w:ilvl w:val="0"/>
          <w:numId w:val="20"/>
        </w:numPr>
        <w:ind w:hanging="360"/>
      </w:pPr>
      <w:r>
        <w:t xml:space="preserve">Positive commitment shown to principles of the Treaty of Waitangi. </w:t>
      </w:r>
    </w:p>
    <w:p w14:paraId="30A0A440" w14:textId="77777777" w:rsidR="001062C8" w:rsidRDefault="003E47BC">
      <w:pPr>
        <w:spacing w:after="0" w:line="259" w:lineRule="auto"/>
        <w:ind w:left="0" w:firstLine="0"/>
      </w:pPr>
      <w:r>
        <w:rPr>
          <w:rFonts w:ascii="Arial" w:eastAsia="Arial" w:hAnsi="Arial" w:cs="Arial"/>
          <w:sz w:val="22"/>
        </w:rPr>
        <w:t xml:space="preserve"> </w:t>
      </w:r>
      <w:r>
        <w:rPr>
          <w:rFonts w:ascii="Arial" w:eastAsia="Arial" w:hAnsi="Arial" w:cs="Arial"/>
          <w:sz w:val="22"/>
        </w:rPr>
        <w:tab/>
      </w:r>
      <w:r>
        <w:rPr>
          <w:sz w:val="22"/>
        </w:rPr>
        <w:t xml:space="preserve"> </w:t>
      </w:r>
    </w:p>
    <w:p w14:paraId="1DCA02B2" w14:textId="77777777" w:rsidR="001062C8" w:rsidRDefault="003E47BC">
      <w:pPr>
        <w:spacing w:after="159" w:line="259" w:lineRule="auto"/>
        <w:ind w:left="0" w:firstLine="0"/>
      </w:pPr>
      <w:r>
        <w:rPr>
          <w:sz w:val="22"/>
        </w:rPr>
        <w:t xml:space="preserve"> </w:t>
      </w:r>
    </w:p>
    <w:p w14:paraId="69D6192A" w14:textId="77777777" w:rsidR="001062C8" w:rsidRDefault="003E47BC">
      <w:pPr>
        <w:pStyle w:val="Heading1"/>
        <w:spacing w:after="238"/>
        <w:ind w:left="-5"/>
      </w:pPr>
      <w:r>
        <w:t xml:space="preserve">AUTHORITIES OF POSITION </w:t>
      </w:r>
    </w:p>
    <w:p w14:paraId="55904A6E" w14:textId="77777777" w:rsidR="001062C8" w:rsidRDefault="003E47BC">
      <w:pPr>
        <w:spacing w:after="137" w:line="259" w:lineRule="auto"/>
        <w:ind w:left="-5"/>
      </w:pPr>
      <w:r>
        <w:rPr>
          <w:b/>
          <w:sz w:val="22"/>
        </w:rPr>
        <w:t xml:space="preserve">Financial  </w:t>
      </w:r>
    </w:p>
    <w:p w14:paraId="1B844690" w14:textId="77777777" w:rsidR="001062C8" w:rsidRDefault="003E47BC">
      <w:pPr>
        <w:spacing w:after="151"/>
        <w:ind w:left="-5"/>
      </w:pPr>
      <w:r>
        <w:t xml:space="preserve">Nil </w:t>
      </w:r>
    </w:p>
    <w:p w14:paraId="3C93CBAB" w14:textId="77777777" w:rsidR="001062C8" w:rsidRDefault="003E47BC">
      <w:pPr>
        <w:spacing w:after="261" w:line="259" w:lineRule="auto"/>
        <w:ind w:left="0" w:firstLine="0"/>
      </w:pPr>
      <w:r>
        <w:rPr>
          <w:b/>
        </w:rPr>
        <w:t xml:space="preserve"> </w:t>
      </w:r>
    </w:p>
    <w:p w14:paraId="0CF9324C" w14:textId="77777777" w:rsidR="001062C8" w:rsidRDefault="003E47BC">
      <w:pPr>
        <w:spacing w:after="137" w:line="259" w:lineRule="auto"/>
        <w:ind w:left="-5"/>
      </w:pPr>
      <w:r>
        <w:rPr>
          <w:b/>
          <w:sz w:val="22"/>
        </w:rPr>
        <w:t xml:space="preserve">Human Resources  </w:t>
      </w:r>
    </w:p>
    <w:p w14:paraId="4F0B328C" w14:textId="77777777" w:rsidR="001062C8" w:rsidRDefault="003E47BC">
      <w:pPr>
        <w:spacing w:after="151"/>
        <w:ind w:left="-5"/>
      </w:pPr>
      <w:r>
        <w:t xml:space="preserve">Nil </w:t>
      </w:r>
    </w:p>
    <w:p w14:paraId="7B9F13C0" w14:textId="77777777" w:rsidR="001062C8" w:rsidRDefault="003E47BC">
      <w:pPr>
        <w:spacing w:after="261" w:line="259" w:lineRule="auto"/>
        <w:ind w:left="0" w:firstLine="0"/>
      </w:pPr>
      <w:r>
        <w:rPr>
          <w:b/>
        </w:rPr>
        <w:t xml:space="preserve"> </w:t>
      </w:r>
    </w:p>
    <w:p w14:paraId="20C5A65C" w14:textId="77777777" w:rsidR="001062C8" w:rsidRDefault="003E47BC">
      <w:pPr>
        <w:spacing w:after="138" w:line="259" w:lineRule="auto"/>
        <w:ind w:left="-5"/>
      </w:pPr>
      <w:r>
        <w:rPr>
          <w:b/>
          <w:sz w:val="22"/>
        </w:rPr>
        <w:t xml:space="preserve">Policy </w:t>
      </w:r>
    </w:p>
    <w:p w14:paraId="598BE9C4" w14:textId="77777777" w:rsidR="001062C8" w:rsidRDefault="003E47BC">
      <w:pPr>
        <w:spacing w:after="158"/>
        <w:ind w:left="-5"/>
      </w:pPr>
      <w:r>
        <w:t>Nil</w:t>
      </w:r>
      <w:r>
        <w:rPr>
          <w:b/>
        </w:rPr>
        <w:t xml:space="preserve"> </w:t>
      </w:r>
    </w:p>
    <w:p w14:paraId="6793F5F1" w14:textId="77777777" w:rsidR="001062C8" w:rsidRDefault="003E47BC">
      <w:pPr>
        <w:spacing w:after="192" w:line="259" w:lineRule="auto"/>
        <w:ind w:left="0" w:firstLine="0"/>
      </w:pPr>
      <w:r>
        <w:rPr>
          <w:rFonts w:ascii="Calibri" w:eastAsia="Calibri" w:hAnsi="Calibri" w:cs="Calibri"/>
          <w:sz w:val="22"/>
        </w:rPr>
        <w:t xml:space="preserve"> </w:t>
      </w:r>
    </w:p>
    <w:p w14:paraId="324F146A" w14:textId="77777777" w:rsidR="001062C8" w:rsidRDefault="003E47BC">
      <w:pPr>
        <w:spacing w:after="0" w:line="259" w:lineRule="auto"/>
        <w:ind w:left="0" w:firstLine="0"/>
      </w:pPr>
      <w:r>
        <w:rPr>
          <w:rFonts w:ascii="Arial" w:eastAsia="Arial" w:hAnsi="Arial" w:cs="Arial"/>
          <w:b/>
          <w:color w:val="008C9A"/>
          <w:sz w:val="22"/>
        </w:rPr>
        <w:t xml:space="preserve"> </w:t>
      </w:r>
      <w:r>
        <w:rPr>
          <w:rFonts w:ascii="Arial" w:eastAsia="Arial" w:hAnsi="Arial" w:cs="Arial"/>
          <w:b/>
          <w:color w:val="008C9A"/>
          <w:sz w:val="22"/>
        </w:rPr>
        <w:tab/>
      </w:r>
      <w:r>
        <w:rPr>
          <w:b/>
          <w:color w:val="008C9A"/>
          <w:sz w:val="22"/>
        </w:rPr>
        <w:t xml:space="preserve"> </w:t>
      </w:r>
      <w:r>
        <w:br w:type="page"/>
      </w:r>
    </w:p>
    <w:p w14:paraId="1ECEF5A2" w14:textId="77777777" w:rsidR="001062C8" w:rsidRDefault="003E47BC">
      <w:pPr>
        <w:pStyle w:val="Heading1"/>
        <w:ind w:left="-5"/>
      </w:pPr>
      <w:r>
        <w:lastRenderedPageBreak/>
        <w:t xml:space="preserve">PERSON SPECIFICATION </w:t>
      </w:r>
    </w:p>
    <w:p w14:paraId="04B21A80" w14:textId="77777777" w:rsidR="001062C8" w:rsidRDefault="003E47BC">
      <w:pPr>
        <w:pStyle w:val="Heading2"/>
        <w:ind w:left="-5"/>
      </w:pPr>
      <w:r>
        <w:t xml:space="preserve">Qualifications and Experience </w:t>
      </w:r>
    </w:p>
    <w:p w14:paraId="3FAF6163" w14:textId="77777777" w:rsidR="001062C8" w:rsidRDefault="003E47BC">
      <w:pPr>
        <w:numPr>
          <w:ilvl w:val="0"/>
          <w:numId w:val="21"/>
        </w:numPr>
        <w:ind w:hanging="360"/>
      </w:pPr>
      <w:r>
        <w:t xml:space="preserve">Appropriate teaching qualification and preferable post-graduate qualification.  In some circumstances, this may be through current engagement in a programme of study that leads to the required qualification </w:t>
      </w:r>
    </w:p>
    <w:p w14:paraId="4637F858" w14:textId="77777777" w:rsidR="001062C8" w:rsidRDefault="003E47BC">
      <w:pPr>
        <w:numPr>
          <w:ilvl w:val="0"/>
          <w:numId w:val="21"/>
        </w:numPr>
        <w:ind w:hanging="360"/>
      </w:pPr>
      <w:r>
        <w:t xml:space="preserve">NZ Teacher Registration with current practicing certificate </w:t>
      </w:r>
    </w:p>
    <w:p w14:paraId="6C3F1897" w14:textId="77777777" w:rsidR="001062C8" w:rsidRDefault="003E47BC">
      <w:pPr>
        <w:numPr>
          <w:ilvl w:val="0"/>
          <w:numId w:val="21"/>
        </w:numPr>
        <w:ind w:hanging="360"/>
      </w:pPr>
      <w:r>
        <w:t xml:space="preserve">Experience in supporting teachers to develop effective pedagogy and practice </w:t>
      </w:r>
    </w:p>
    <w:p w14:paraId="4B9F43C7" w14:textId="77777777" w:rsidR="001062C8" w:rsidRDefault="003E47BC">
      <w:pPr>
        <w:numPr>
          <w:ilvl w:val="0"/>
          <w:numId w:val="21"/>
        </w:numPr>
        <w:ind w:hanging="360"/>
      </w:pPr>
      <w:r>
        <w:t xml:space="preserve">Experience in building and maintaining partnerships with a range of stakeholders, especially where this is in education delivery settings.  </w:t>
      </w:r>
    </w:p>
    <w:p w14:paraId="37F80AED" w14:textId="77777777" w:rsidR="001062C8" w:rsidRDefault="003E47BC">
      <w:pPr>
        <w:spacing w:after="62" w:line="259" w:lineRule="auto"/>
        <w:ind w:left="360" w:firstLine="0"/>
      </w:pPr>
      <w:r>
        <w:t xml:space="preserve"> </w:t>
      </w:r>
    </w:p>
    <w:p w14:paraId="41C7F393" w14:textId="77777777" w:rsidR="001062C8" w:rsidRDefault="003E47BC">
      <w:pPr>
        <w:pStyle w:val="Heading2"/>
        <w:ind w:left="-5"/>
      </w:pPr>
      <w:r>
        <w:t xml:space="preserve">Knowledge, Skills and Attributes </w:t>
      </w:r>
    </w:p>
    <w:p w14:paraId="2ED82133" w14:textId="77777777" w:rsidR="001062C8" w:rsidRDefault="003E47BC">
      <w:pPr>
        <w:numPr>
          <w:ilvl w:val="0"/>
          <w:numId w:val="22"/>
        </w:numPr>
        <w:spacing w:after="21"/>
        <w:ind w:hanging="360"/>
      </w:pPr>
      <w:r>
        <w:t xml:space="preserve">Engages in cultural activities and </w:t>
      </w:r>
      <w:proofErr w:type="gramStart"/>
      <w:r>
        <w:t>has an understanding of</w:t>
      </w:r>
      <w:proofErr w:type="gramEnd"/>
      <w:r>
        <w:t xml:space="preserve"> </w:t>
      </w:r>
      <w:proofErr w:type="spellStart"/>
      <w:r>
        <w:t>āhuatanga</w:t>
      </w:r>
      <w:proofErr w:type="spellEnd"/>
      <w:r>
        <w:t xml:space="preserve"> Māori (values, culture and tikanga)</w:t>
      </w:r>
      <w:r>
        <w:rPr>
          <w:rFonts w:ascii="Calibri" w:eastAsia="Calibri" w:hAnsi="Calibri" w:cs="Calibri"/>
        </w:rPr>
        <w:t xml:space="preserve"> </w:t>
      </w:r>
    </w:p>
    <w:p w14:paraId="347E705A" w14:textId="77777777" w:rsidR="001062C8" w:rsidRDefault="003E47BC">
      <w:pPr>
        <w:numPr>
          <w:ilvl w:val="0"/>
          <w:numId w:val="22"/>
        </w:numPr>
        <w:spacing w:after="21"/>
        <w:ind w:hanging="360"/>
      </w:pPr>
      <w:r>
        <w:t xml:space="preserve">Understands and uses basic </w:t>
      </w:r>
      <w:proofErr w:type="spellStart"/>
      <w:r>
        <w:t>te</w:t>
      </w:r>
      <w:proofErr w:type="spellEnd"/>
      <w:r>
        <w:t xml:space="preserve"> </w:t>
      </w:r>
      <w:proofErr w:type="spellStart"/>
      <w:r>
        <w:t>reo</w:t>
      </w:r>
      <w:proofErr w:type="spellEnd"/>
      <w:r>
        <w:t xml:space="preserve"> Māori phrases, mihi and greetings </w:t>
      </w:r>
      <w:r>
        <w:rPr>
          <w:rFonts w:ascii="Calibri" w:eastAsia="Calibri" w:hAnsi="Calibri" w:cs="Calibri"/>
        </w:rPr>
        <w:t xml:space="preserve"> </w:t>
      </w:r>
    </w:p>
    <w:p w14:paraId="71A909D4" w14:textId="77777777" w:rsidR="001062C8" w:rsidRDefault="003E47BC">
      <w:pPr>
        <w:numPr>
          <w:ilvl w:val="0"/>
          <w:numId w:val="22"/>
        </w:numPr>
        <w:spacing w:after="58"/>
        <w:ind w:hanging="360"/>
      </w:pPr>
      <w:r>
        <w:t xml:space="preserve">Accuracy and flexibility under pressure  </w:t>
      </w:r>
    </w:p>
    <w:p w14:paraId="7CEB01BF" w14:textId="77777777" w:rsidR="001062C8" w:rsidRDefault="003E47BC">
      <w:pPr>
        <w:numPr>
          <w:ilvl w:val="0"/>
          <w:numId w:val="22"/>
        </w:numPr>
        <w:ind w:hanging="360"/>
      </w:pPr>
      <w:r>
        <w:t>Demonstrated contribution to the teaching profession and discipline</w:t>
      </w:r>
      <w:r>
        <w:rPr>
          <w:b/>
          <w:sz w:val="22"/>
        </w:rPr>
        <w:t xml:space="preserve"> </w:t>
      </w:r>
    </w:p>
    <w:p w14:paraId="5EAF06C7" w14:textId="77777777" w:rsidR="001062C8" w:rsidRDefault="003E47BC">
      <w:pPr>
        <w:numPr>
          <w:ilvl w:val="0"/>
          <w:numId w:val="22"/>
        </w:numPr>
        <w:ind w:hanging="360"/>
      </w:pPr>
      <w:r>
        <w:t>Thorough and up-to-date knowledge of the New Zealand Curriculum and the  New Zealand Education environment</w:t>
      </w:r>
      <w:r>
        <w:rPr>
          <w:b/>
          <w:sz w:val="22"/>
        </w:rPr>
        <w:t xml:space="preserve"> </w:t>
      </w:r>
    </w:p>
    <w:p w14:paraId="7BA3ED03" w14:textId="77777777" w:rsidR="001062C8" w:rsidRDefault="003E47BC">
      <w:pPr>
        <w:numPr>
          <w:ilvl w:val="0"/>
          <w:numId w:val="22"/>
        </w:numPr>
        <w:ind w:hanging="360"/>
      </w:pPr>
      <w:r>
        <w:t>Excellent skills inbuilding and maintaining networks and relationships</w:t>
      </w:r>
      <w:r>
        <w:rPr>
          <w:b/>
          <w:sz w:val="22"/>
        </w:rPr>
        <w:t xml:space="preserve"> </w:t>
      </w:r>
    </w:p>
    <w:p w14:paraId="5AC87B6F" w14:textId="77777777" w:rsidR="001062C8" w:rsidRDefault="003E47BC">
      <w:pPr>
        <w:numPr>
          <w:ilvl w:val="0"/>
          <w:numId w:val="22"/>
        </w:numPr>
        <w:ind w:hanging="360"/>
      </w:pPr>
      <w:r>
        <w:t>Current industry connections and networks</w:t>
      </w:r>
      <w:r>
        <w:rPr>
          <w:b/>
          <w:sz w:val="22"/>
        </w:rPr>
        <w:t xml:space="preserve"> </w:t>
      </w:r>
    </w:p>
    <w:p w14:paraId="5834282A" w14:textId="77777777" w:rsidR="001062C8" w:rsidRDefault="003E47BC">
      <w:pPr>
        <w:numPr>
          <w:ilvl w:val="0"/>
          <w:numId w:val="22"/>
        </w:numPr>
        <w:ind w:hanging="360"/>
      </w:pPr>
      <w:r>
        <w:t>Excellent interpersonal and oral communication skills, both face-to-face and in telephone contact</w:t>
      </w:r>
      <w:r>
        <w:rPr>
          <w:b/>
          <w:sz w:val="22"/>
        </w:rPr>
        <w:t xml:space="preserve"> </w:t>
      </w:r>
    </w:p>
    <w:p w14:paraId="63F5C11A" w14:textId="77777777" w:rsidR="001062C8" w:rsidRDefault="003E47BC">
      <w:pPr>
        <w:numPr>
          <w:ilvl w:val="0"/>
          <w:numId w:val="22"/>
        </w:numPr>
        <w:ind w:hanging="360"/>
      </w:pPr>
      <w:r>
        <w:t>Excellent written communication skills, particularly a high standard of written English</w:t>
      </w:r>
      <w:r>
        <w:rPr>
          <w:b/>
          <w:sz w:val="22"/>
        </w:rPr>
        <w:t xml:space="preserve"> </w:t>
      </w:r>
    </w:p>
    <w:p w14:paraId="65FDE739" w14:textId="77777777" w:rsidR="001062C8" w:rsidRDefault="003E47BC">
      <w:pPr>
        <w:numPr>
          <w:ilvl w:val="0"/>
          <w:numId w:val="22"/>
        </w:numPr>
        <w:spacing w:after="49"/>
        <w:ind w:hanging="360"/>
      </w:pPr>
      <w:r>
        <w:t>Well-developed planning and organisational skills with the ability to work autonomously and to manage workflow pressures</w:t>
      </w:r>
      <w:r>
        <w:rPr>
          <w:b/>
          <w:sz w:val="22"/>
        </w:rPr>
        <w:t xml:space="preserve"> </w:t>
      </w:r>
    </w:p>
    <w:p w14:paraId="589C5B4F" w14:textId="77777777" w:rsidR="001062C8" w:rsidRDefault="003E47BC">
      <w:pPr>
        <w:numPr>
          <w:ilvl w:val="0"/>
          <w:numId w:val="22"/>
        </w:numPr>
        <w:ind w:hanging="360"/>
      </w:pPr>
      <w:r>
        <w:t>Ability to effectively develop and implement priorities, meet deadlines, and maintain</w:t>
      </w:r>
      <w:r>
        <w:rPr>
          <w:b/>
          <w:sz w:val="22"/>
        </w:rPr>
        <w:t xml:space="preserve"> </w:t>
      </w:r>
    </w:p>
    <w:p w14:paraId="0167CB3B" w14:textId="77777777" w:rsidR="001062C8" w:rsidRDefault="003E47BC">
      <w:pPr>
        <w:numPr>
          <w:ilvl w:val="0"/>
          <w:numId w:val="22"/>
        </w:numPr>
        <w:spacing w:after="51"/>
        <w:ind w:hanging="360"/>
      </w:pPr>
      <w:r>
        <w:t>Confidence and competence in dealing with a wide range of people, including academic staff, students, and professional organisations</w:t>
      </w:r>
      <w:r>
        <w:rPr>
          <w:b/>
          <w:sz w:val="22"/>
        </w:rPr>
        <w:t xml:space="preserve"> </w:t>
      </w:r>
    </w:p>
    <w:p w14:paraId="05EC4EA2" w14:textId="77777777" w:rsidR="001062C8" w:rsidRDefault="003E47BC">
      <w:pPr>
        <w:numPr>
          <w:ilvl w:val="0"/>
          <w:numId w:val="22"/>
        </w:numPr>
        <w:spacing w:after="36" w:line="269" w:lineRule="auto"/>
        <w:ind w:hanging="360"/>
      </w:pPr>
      <w:r>
        <w:t>Commitments to working as part of a team, with an ability to work with peer in a collegial, constructive manner and develop good working relationships with external contacts</w:t>
      </w:r>
      <w:r>
        <w:rPr>
          <w:b/>
          <w:sz w:val="22"/>
        </w:rPr>
        <w:t xml:space="preserve"> </w:t>
      </w:r>
    </w:p>
    <w:p w14:paraId="5591592B" w14:textId="77777777" w:rsidR="001062C8" w:rsidRDefault="003E47BC">
      <w:pPr>
        <w:numPr>
          <w:ilvl w:val="0"/>
          <w:numId w:val="22"/>
        </w:numPr>
        <w:ind w:hanging="360"/>
      </w:pPr>
      <w:r>
        <w:t>An understanding of the Treaty of Waitangi as it relates to the education sector</w:t>
      </w:r>
      <w:r>
        <w:rPr>
          <w:b/>
          <w:sz w:val="22"/>
        </w:rPr>
        <w:t xml:space="preserve"> </w:t>
      </w:r>
    </w:p>
    <w:p w14:paraId="4416B46D" w14:textId="77777777" w:rsidR="001062C8" w:rsidRDefault="003E47BC">
      <w:pPr>
        <w:numPr>
          <w:ilvl w:val="0"/>
          <w:numId w:val="22"/>
        </w:numPr>
        <w:spacing w:after="51"/>
        <w:ind w:hanging="360"/>
      </w:pPr>
      <w:r>
        <w:t>Client focus with a professional commitment to providing high quality teaching service to students</w:t>
      </w:r>
      <w:r>
        <w:rPr>
          <w:b/>
          <w:sz w:val="22"/>
        </w:rPr>
        <w:t xml:space="preserve"> </w:t>
      </w:r>
    </w:p>
    <w:p w14:paraId="3614801B" w14:textId="77777777" w:rsidR="001062C8" w:rsidRDefault="003E47BC">
      <w:pPr>
        <w:numPr>
          <w:ilvl w:val="0"/>
          <w:numId w:val="22"/>
        </w:numPr>
        <w:ind w:hanging="360"/>
      </w:pPr>
      <w:r>
        <w:t>Initiative, discretion, sound judgment, and diplomacy</w:t>
      </w:r>
      <w:r>
        <w:rPr>
          <w:b/>
          <w:sz w:val="22"/>
        </w:rPr>
        <w:t xml:space="preserve"> </w:t>
      </w:r>
    </w:p>
    <w:p w14:paraId="4B8362BA" w14:textId="77777777" w:rsidR="001062C8" w:rsidRDefault="003E47BC">
      <w:pPr>
        <w:numPr>
          <w:ilvl w:val="0"/>
          <w:numId w:val="22"/>
        </w:numPr>
        <w:ind w:hanging="360"/>
      </w:pPr>
      <w:r>
        <w:t>Commitment to personal and professional development</w:t>
      </w:r>
      <w:r>
        <w:rPr>
          <w:b/>
          <w:sz w:val="22"/>
        </w:rPr>
        <w:t xml:space="preserve"> </w:t>
      </w:r>
    </w:p>
    <w:p w14:paraId="0A6F4806" w14:textId="77777777" w:rsidR="001062C8" w:rsidRDefault="003E47BC">
      <w:pPr>
        <w:numPr>
          <w:ilvl w:val="0"/>
          <w:numId w:val="22"/>
        </w:numPr>
        <w:ind w:hanging="360"/>
      </w:pPr>
      <w:r>
        <w:t>Ability to anticipate, adapt to, manage, and promote change</w:t>
      </w:r>
      <w:r>
        <w:rPr>
          <w:b/>
          <w:sz w:val="22"/>
        </w:rPr>
        <w:t xml:space="preserve"> </w:t>
      </w:r>
    </w:p>
    <w:p w14:paraId="6A2AC879" w14:textId="77777777" w:rsidR="001062C8" w:rsidRDefault="003E47BC">
      <w:pPr>
        <w:numPr>
          <w:ilvl w:val="0"/>
          <w:numId w:val="22"/>
        </w:numPr>
        <w:ind w:hanging="360"/>
      </w:pPr>
      <w:r>
        <w:t>Versatility, with a positive problem-solving approach</w:t>
      </w:r>
      <w:r>
        <w:rPr>
          <w:b/>
          <w:sz w:val="22"/>
        </w:rPr>
        <w:t xml:space="preserve"> </w:t>
      </w:r>
    </w:p>
    <w:p w14:paraId="0659AFF0" w14:textId="77777777" w:rsidR="001062C8" w:rsidRDefault="003E47BC">
      <w:pPr>
        <w:numPr>
          <w:ilvl w:val="0"/>
          <w:numId w:val="22"/>
        </w:numPr>
        <w:ind w:hanging="360"/>
      </w:pPr>
      <w:r>
        <w:t>Commitment to the principals of equal employment opportunities, with sensitivity to issues of equity and proven concern for cultural, social, and educational needs.</w:t>
      </w:r>
      <w:r>
        <w:rPr>
          <w:b/>
          <w:sz w:val="22"/>
        </w:rPr>
        <w:t xml:space="preserve"> </w:t>
      </w:r>
    </w:p>
    <w:p w14:paraId="39BF45D5" w14:textId="77777777" w:rsidR="001062C8" w:rsidRDefault="003E47BC">
      <w:pPr>
        <w:spacing w:after="0" w:line="259" w:lineRule="auto"/>
        <w:ind w:left="360" w:firstLine="0"/>
      </w:pPr>
      <w:r>
        <w:rPr>
          <w:rFonts w:ascii="Arial" w:eastAsia="Arial" w:hAnsi="Arial" w:cs="Arial"/>
          <w:b/>
          <w:sz w:val="22"/>
        </w:rPr>
        <w:t xml:space="preserve"> </w:t>
      </w:r>
      <w:r>
        <w:rPr>
          <w:rFonts w:ascii="Arial" w:eastAsia="Arial" w:hAnsi="Arial" w:cs="Arial"/>
          <w:b/>
          <w:sz w:val="22"/>
        </w:rPr>
        <w:tab/>
      </w:r>
      <w:r>
        <w:rPr>
          <w:b/>
          <w:sz w:val="22"/>
        </w:rPr>
        <w:t xml:space="preserve"> </w:t>
      </w:r>
    </w:p>
    <w:p w14:paraId="79E6C654" w14:textId="77777777" w:rsidR="001062C8" w:rsidRDefault="003E47BC">
      <w:pPr>
        <w:pStyle w:val="Heading1"/>
        <w:ind w:left="-5"/>
      </w:pPr>
      <w:r>
        <w:t xml:space="preserve">ACCEPTANCE </w:t>
      </w:r>
    </w:p>
    <w:p w14:paraId="25538F6F" w14:textId="77777777" w:rsidR="001062C8" w:rsidRDefault="003E47BC">
      <w:pPr>
        <w:spacing w:after="174" w:line="269" w:lineRule="auto"/>
        <w:ind w:left="-15" w:right="-9" w:firstLine="0"/>
        <w:jc w:val="both"/>
      </w:pPr>
      <w:r>
        <w:rPr>
          <w:b/>
        </w:rPr>
        <w:t xml:space="preserve">I AGREE </w:t>
      </w:r>
      <w:r>
        <w:t xml:space="preserve">with the duties and responsibilities of the position as reflected in this Position Description. I understand and accept the ED: Learning Delivery may review and amend the duties in this position description from time to time after consultation with me. </w:t>
      </w:r>
    </w:p>
    <w:p w14:paraId="11B2662D" w14:textId="77777777" w:rsidR="001062C8" w:rsidRDefault="003E47BC">
      <w:pPr>
        <w:spacing w:after="159" w:line="259" w:lineRule="auto"/>
        <w:ind w:left="0" w:firstLine="0"/>
      </w:pPr>
      <w:r>
        <w:rPr>
          <w:sz w:val="22"/>
        </w:rPr>
        <w:lastRenderedPageBreak/>
        <w:t xml:space="preserve"> </w:t>
      </w:r>
    </w:p>
    <w:p w14:paraId="04067F74" w14:textId="77777777" w:rsidR="001062C8" w:rsidRDefault="003E47BC">
      <w:pPr>
        <w:spacing w:after="156" w:line="259" w:lineRule="auto"/>
        <w:ind w:left="0" w:firstLine="0"/>
      </w:pPr>
      <w:r>
        <w:rPr>
          <w:sz w:val="22"/>
        </w:rPr>
        <w:t xml:space="preserve"> </w:t>
      </w:r>
    </w:p>
    <w:p w14:paraId="085433F9" w14:textId="77777777" w:rsidR="001062C8" w:rsidRDefault="003E47BC">
      <w:pPr>
        <w:spacing w:after="0" w:line="259" w:lineRule="auto"/>
        <w:ind w:left="-5"/>
      </w:pPr>
      <w:r>
        <w:rPr>
          <w:sz w:val="22"/>
        </w:rPr>
        <w:t xml:space="preserve">Signature of Position Holder: …………………………………………… Date: ……………… </w:t>
      </w:r>
    </w:p>
    <w:p w14:paraId="215A9F17" w14:textId="77777777" w:rsidR="001062C8" w:rsidRDefault="003E47BC">
      <w:pPr>
        <w:spacing w:after="0" w:line="259" w:lineRule="auto"/>
        <w:ind w:left="0" w:firstLine="0"/>
      </w:pPr>
      <w:r>
        <w:rPr>
          <w:sz w:val="22"/>
        </w:rPr>
        <w:t xml:space="preserve"> </w:t>
      </w:r>
    </w:p>
    <w:p w14:paraId="2C9601B5" w14:textId="77777777" w:rsidR="001062C8" w:rsidRDefault="003E47BC">
      <w:pPr>
        <w:spacing w:after="0" w:line="259" w:lineRule="auto"/>
        <w:ind w:left="0" w:firstLine="0"/>
      </w:pPr>
      <w:r>
        <w:rPr>
          <w:sz w:val="22"/>
        </w:rPr>
        <w:t xml:space="preserve"> </w:t>
      </w:r>
    </w:p>
    <w:p w14:paraId="11CC5A1E" w14:textId="77777777" w:rsidR="001062C8" w:rsidRDefault="003E47BC">
      <w:pPr>
        <w:spacing w:after="0" w:line="259" w:lineRule="auto"/>
        <w:ind w:left="0" w:firstLine="0"/>
      </w:pPr>
      <w:r>
        <w:rPr>
          <w:sz w:val="22"/>
        </w:rPr>
        <w:t xml:space="preserve"> </w:t>
      </w:r>
    </w:p>
    <w:p w14:paraId="67A9F0CF" w14:textId="77777777" w:rsidR="001062C8" w:rsidRDefault="003E47BC">
      <w:pPr>
        <w:spacing w:after="0" w:line="259" w:lineRule="auto"/>
        <w:ind w:left="0" w:firstLine="0"/>
      </w:pPr>
      <w:r>
        <w:rPr>
          <w:sz w:val="22"/>
        </w:rPr>
        <w:t xml:space="preserve"> </w:t>
      </w:r>
    </w:p>
    <w:p w14:paraId="7D883313" w14:textId="77777777" w:rsidR="001062C8" w:rsidRDefault="003E47BC">
      <w:pPr>
        <w:spacing w:after="0" w:line="259" w:lineRule="auto"/>
        <w:ind w:left="-5"/>
      </w:pPr>
      <w:r>
        <w:rPr>
          <w:sz w:val="22"/>
        </w:rPr>
        <w:t xml:space="preserve">Signature of Manager: ………………………………………………………… Date: …………… </w:t>
      </w:r>
    </w:p>
    <w:p w14:paraId="6D1C6619" w14:textId="77777777" w:rsidR="001062C8" w:rsidRDefault="003E47BC">
      <w:pPr>
        <w:spacing w:after="0" w:line="259" w:lineRule="auto"/>
        <w:ind w:left="0" w:firstLine="0"/>
      </w:pPr>
      <w:r>
        <w:rPr>
          <w:rFonts w:ascii="Calibri" w:eastAsia="Calibri" w:hAnsi="Calibri" w:cs="Calibri"/>
          <w:sz w:val="22"/>
        </w:rPr>
        <w:t xml:space="preserve"> </w:t>
      </w:r>
    </w:p>
    <w:sectPr w:rsidR="001062C8">
      <w:footerReference w:type="even" r:id="rId11"/>
      <w:footerReference w:type="default" r:id="rId12"/>
      <w:footerReference w:type="first" r:id="rId13"/>
      <w:footnotePr>
        <w:numRestart w:val="eachPage"/>
      </w:footnotePr>
      <w:pgSz w:w="11906" w:h="16838"/>
      <w:pgMar w:top="1489" w:right="1438" w:bottom="1365"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90B6" w14:textId="77777777" w:rsidR="00475E2B" w:rsidRDefault="00475E2B">
      <w:pPr>
        <w:spacing w:after="0" w:line="240" w:lineRule="auto"/>
      </w:pPr>
      <w:r>
        <w:separator/>
      </w:r>
    </w:p>
  </w:endnote>
  <w:endnote w:type="continuationSeparator" w:id="0">
    <w:p w14:paraId="710BC3E1" w14:textId="77777777" w:rsidR="00475E2B" w:rsidRDefault="0047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3B0F" w14:textId="77777777" w:rsidR="001062C8" w:rsidRDefault="003E47BC">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AADA0A4" w14:textId="77777777" w:rsidR="001062C8" w:rsidRDefault="003E47B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9F71" w14:textId="77777777" w:rsidR="001062C8" w:rsidRDefault="003E47BC">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AEA86F2" w14:textId="77777777" w:rsidR="001062C8" w:rsidRDefault="003E47B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E267" w14:textId="77777777" w:rsidR="001062C8" w:rsidRDefault="003E47BC">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BBC6641" w14:textId="77777777" w:rsidR="001062C8" w:rsidRDefault="003E47B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06FE" w14:textId="77777777" w:rsidR="00475E2B" w:rsidRDefault="00475E2B">
      <w:pPr>
        <w:spacing w:after="77" w:line="359" w:lineRule="auto"/>
        <w:ind w:left="0" w:firstLine="0"/>
      </w:pPr>
      <w:r>
        <w:separator/>
      </w:r>
    </w:p>
  </w:footnote>
  <w:footnote w:type="continuationSeparator" w:id="0">
    <w:p w14:paraId="2E6EDE42" w14:textId="77777777" w:rsidR="00475E2B" w:rsidRDefault="00475E2B">
      <w:pPr>
        <w:spacing w:after="77" w:line="359" w:lineRule="auto"/>
        <w:ind w:left="0" w:firstLine="0"/>
      </w:pPr>
      <w:r>
        <w:continuationSeparator/>
      </w:r>
    </w:p>
  </w:footnote>
  <w:footnote w:id="1">
    <w:p w14:paraId="19B94401" w14:textId="77777777" w:rsidR="001062C8" w:rsidRDefault="003E47BC">
      <w:pPr>
        <w:pStyle w:val="footnotedescription"/>
        <w:spacing w:after="77" w:line="359" w:lineRule="auto"/>
      </w:pPr>
      <w:r>
        <w:rPr>
          <w:rStyle w:val="footnotemark"/>
        </w:rPr>
        <w:footnoteRef/>
      </w:r>
      <w:r>
        <w:t xml:space="preserve"> A partner school has a formally established relationship with the polytechnic where </w:t>
      </w:r>
      <w:proofErr w:type="spellStart"/>
      <w:r>
        <w:t>ākonga</w:t>
      </w:r>
      <w:proofErr w:type="spellEnd"/>
      <w:r>
        <w:t xml:space="preserve"> are placed with the school and assigned a school-based teacher as a learning mentor. </w:t>
      </w:r>
    </w:p>
    <w:p w14:paraId="73728C56" w14:textId="77777777" w:rsidR="001062C8" w:rsidRDefault="003E47BC">
      <w:pPr>
        <w:pStyle w:val="footnotedescription"/>
        <w:spacing w:after="0" w:line="258" w:lineRule="auto"/>
      </w:pPr>
      <w:r>
        <w:t xml:space="preserve">A practicum school hosts </w:t>
      </w:r>
      <w:proofErr w:type="spellStart"/>
      <w:r>
        <w:t>ākonga</w:t>
      </w:r>
      <w:proofErr w:type="spellEnd"/>
      <w:r>
        <w:t xml:space="preserve"> for their formal practicum placement activities which occur at specific points in their programme of study.</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26C"/>
    <w:multiLevelType w:val="hybridMultilevel"/>
    <w:tmpl w:val="4FF0F8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BB4B3F"/>
    <w:multiLevelType w:val="hybridMultilevel"/>
    <w:tmpl w:val="D0B64BD8"/>
    <w:lvl w:ilvl="0" w:tplc="0A1AE4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802E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F20E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0C9F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EB27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C670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9A7D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282BA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2EDBE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FE49E3"/>
    <w:multiLevelType w:val="hybridMultilevel"/>
    <w:tmpl w:val="B7605EDA"/>
    <w:lvl w:ilvl="0" w:tplc="34FE48B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8009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A07FB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C855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737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7CCD2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041C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9044A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CA85A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905B07"/>
    <w:multiLevelType w:val="hybridMultilevel"/>
    <w:tmpl w:val="E3605A84"/>
    <w:lvl w:ilvl="0" w:tplc="0C6A798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94A64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F89C8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A6073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66AC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0CB4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309D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426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0AC6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143CA9"/>
    <w:multiLevelType w:val="hybridMultilevel"/>
    <w:tmpl w:val="DCD0BB66"/>
    <w:lvl w:ilvl="0" w:tplc="CA907F2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A314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345D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68B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BAB0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6048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C00D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32DEA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C836B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A73C49"/>
    <w:multiLevelType w:val="hybridMultilevel"/>
    <w:tmpl w:val="ED00DA60"/>
    <w:lvl w:ilvl="0" w:tplc="11DA440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8547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B8A6B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5E61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9CDEC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9E670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2002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FE03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208BB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095785"/>
    <w:multiLevelType w:val="hybridMultilevel"/>
    <w:tmpl w:val="8E1A0D14"/>
    <w:lvl w:ilvl="0" w:tplc="3696699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9C667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D626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BC27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A0FC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F4551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D8560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90327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9AFE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6A7299"/>
    <w:multiLevelType w:val="hybridMultilevel"/>
    <w:tmpl w:val="6BDC4950"/>
    <w:lvl w:ilvl="0" w:tplc="ECA8662E">
      <w:start w:val="1"/>
      <w:numFmt w:val="bullet"/>
      <w:lvlText w:val="▪"/>
      <w:lvlJc w:val="left"/>
      <w:pPr>
        <w:ind w:left="22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CC0B40E">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B50216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332ABD0">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90E5296">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CE77A6">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AC46B20">
      <w:start w:val="1"/>
      <w:numFmt w:val="bullet"/>
      <w:lvlText w:val="•"/>
      <w:lvlJc w:val="left"/>
      <w:pPr>
        <w:ind w:left="7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260FF40">
      <w:start w:val="1"/>
      <w:numFmt w:val="bullet"/>
      <w:lvlText w:val="o"/>
      <w:lvlJc w:val="left"/>
      <w:pPr>
        <w:ind w:left="8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A3496EE">
      <w:start w:val="1"/>
      <w:numFmt w:val="bullet"/>
      <w:lvlText w:val="▪"/>
      <w:lvlJc w:val="left"/>
      <w:pPr>
        <w:ind w:left="9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4830852"/>
    <w:multiLevelType w:val="hybridMultilevel"/>
    <w:tmpl w:val="A4528818"/>
    <w:lvl w:ilvl="0" w:tplc="A586B2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1633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C651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DEB1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6CBF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DED4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44D1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0C906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6EFA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DE04058"/>
    <w:multiLevelType w:val="hybridMultilevel"/>
    <w:tmpl w:val="7C009748"/>
    <w:lvl w:ilvl="0" w:tplc="4CEEC1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4C5B8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0A740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C470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887D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D00B6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6E38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EAFD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400EA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E043D76"/>
    <w:multiLevelType w:val="hybridMultilevel"/>
    <w:tmpl w:val="45309DAA"/>
    <w:lvl w:ilvl="0" w:tplc="F2C2B94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38F5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70518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866C7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3494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CC39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2482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3A6F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6AD5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0E7798C"/>
    <w:multiLevelType w:val="hybridMultilevel"/>
    <w:tmpl w:val="97B80100"/>
    <w:lvl w:ilvl="0" w:tplc="94B679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E9DA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947A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D604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AC2A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E2B2F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BCF3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064AA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A397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3286ADB"/>
    <w:multiLevelType w:val="hybridMultilevel"/>
    <w:tmpl w:val="51E41BF2"/>
    <w:lvl w:ilvl="0" w:tplc="59CC65C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AA90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FED73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222D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407B3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586BB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8EBC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02392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DA16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D802EB5"/>
    <w:multiLevelType w:val="hybridMultilevel"/>
    <w:tmpl w:val="0C9E72FC"/>
    <w:lvl w:ilvl="0" w:tplc="881E7B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84BD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ACB35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3A67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C192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483B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06B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4E76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6EF82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0241E3A"/>
    <w:multiLevelType w:val="hybridMultilevel"/>
    <w:tmpl w:val="B6B828EA"/>
    <w:lvl w:ilvl="0" w:tplc="029C5C4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42A2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7AE8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8E78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50D03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249AB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323E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60F4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0A662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C656A3"/>
    <w:multiLevelType w:val="hybridMultilevel"/>
    <w:tmpl w:val="01E623F4"/>
    <w:lvl w:ilvl="0" w:tplc="A740D1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109CC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48A2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24621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06A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34A31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2AC4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82B2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3A815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7A26DEF"/>
    <w:multiLevelType w:val="hybridMultilevel"/>
    <w:tmpl w:val="8B247524"/>
    <w:lvl w:ilvl="0" w:tplc="56509AB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201C9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74CD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12789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5C1A8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1A62B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9EF6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836A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1837B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BB121A3"/>
    <w:multiLevelType w:val="hybridMultilevel"/>
    <w:tmpl w:val="3258CA7A"/>
    <w:lvl w:ilvl="0" w:tplc="4A0AE9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E676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3A44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B8FE0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8C1E1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1CDDE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702C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2248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46693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62F4AF0"/>
    <w:multiLevelType w:val="hybridMultilevel"/>
    <w:tmpl w:val="209A3756"/>
    <w:lvl w:ilvl="0" w:tplc="2D30DFC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14494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92B01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BCBF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D6E4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F2CD8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C8F7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6A7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46726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7250B96"/>
    <w:multiLevelType w:val="hybridMultilevel"/>
    <w:tmpl w:val="4B3E0DD0"/>
    <w:lvl w:ilvl="0" w:tplc="5838E6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28104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6EC4B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987B1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ACD3F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8C771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7E20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B2DB5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E4FA2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8A63A82"/>
    <w:multiLevelType w:val="hybridMultilevel"/>
    <w:tmpl w:val="94EA5BA0"/>
    <w:lvl w:ilvl="0" w:tplc="7FDCAB4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0CE0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6C257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067C1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7CA5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08FF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063CF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8CDCA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58FB2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9CE2757"/>
    <w:multiLevelType w:val="hybridMultilevel"/>
    <w:tmpl w:val="C1902B34"/>
    <w:lvl w:ilvl="0" w:tplc="B8E0FCC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EE1CD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8C51B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969CE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A0F0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E2529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C464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58BC0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5EBD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291605"/>
    <w:multiLevelType w:val="hybridMultilevel"/>
    <w:tmpl w:val="CA466F76"/>
    <w:lvl w:ilvl="0" w:tplc="96FA848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18AB7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4A9D9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CB08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899F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02DEB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2027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1001D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505C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36558428">
    <w:abstractNumId w:val="11"/>
  </w:num>
  <w:num w:numId="2" w16cid:durableId="947851550">
    <w:abstractNumId w:val="7"/>
  </w:num>
  <w:num w:numId="3" w16cid:durableId="786435622">
    <w:abstractNumId w:val="10"/>
  </w:num>
  <w:num w:numId="4" w16cid:durableId="1417168862">
    <w:abstractNumId w:val="16"/>
  </w:num>
  <w:num w:numId="5" w16cid:durableId="234903978">
    <w:abstractNumId w:val="15"/>
  </w:num>
  <w:num w:numId="6" w16cid:durableId="1484468532">
    <w:abstractNumId w:val="2"/>
  </w:num>
  <w:num w:numId="7" w16cid:durableId="2044818541">
    <w:abstractNumId w:val="22"/>
  </w:num>
  <w:num w:numId="8" w16cid:durableId="2042393234">
    <w:abstractNumId w:val="18"/>
  </w:num>
  <w:num w:numId="9" w16cid:durableId="1428577853">
    <w:abstractNumId w:val="3"/>
  </w:num>
  <w:num w:numId="10" w16cid:durableId="1773669834">
    <w:abstractNumId w:val="1"/>
  </w:num>
  <w:num w:numId="11" w16cid:durableId="1620409967">
    <w:abstractNumId w:val="9"/>
  </w:num>
  <w:num w:numId="12" w16cid:durableId="252131509">
    <w:abstractNumId w:val="5"/>
  </w:num>
  <w:num w:numId="13" w16cid:durableId="145127983">
    <w:abstractNumId w:val="4"/>
  </w:num>
  <w:num w:numId="14" w16cid:durableId="1484158744">
    <w:abstractNumId w:val="14"/>
  </w:num>
  <w:num w:numId="15" w16cid:durableId="583074663">
    <w:abstractNumId w:val="21"/>
  </w:num>
  <w:num w:numId="16" w16cid:durableId="335228658">
    <w:abstractNumId w:val="6"/>
  </w:num>
  <w:num w:numId="17" w16cid:durableId="513036278">
    <w:abstractNumId w:val="19"/>
  </w:num>
  <w:num w:numId="18" w16cid:durableId="427117594">
    <w:abstractNumId w:val="17"/>
  </w:num>
  <w:num w:numId="19" w16cid:durableId="1069770421">
    <w:abstractNumId w:val="12"/>
  </w:num>
  <w:num w:numId="20" w16cid:durableId="1145119345">
    <w:abstractNumId w:val="8"/>
  </w:num>
  <w:num w:numId="21" w16cid:durableId="347372957">
    <w:abstractNumId w:val="13"/>
  </w:num>
  <w:num w:numId="22" w16cid:durableId="48847626">
    <w:abstractNumId w:val="20"/>
  </w:num>
  <w:num w:numId="23" w16cid:durableId="124626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C8"/>
    <w:rsid w:val="000F7774"/>
    <w:rsid w:val="001062C8"/>
    <w:rsid w:val="0021188C"/>
    <w:rsid w:val="002725E2"/>
    <w:rsid w:val="003E47BC"/>
    <w:rsid w:val="00475E2B"/>
    <w:rsid w:val="00553D03"/>
    <w:rsid w:val="007E52E3"/>
    <w:rsid w:val="008100AD"/>
    <w:rsid w:val="00C55D82"/>
    <w:rsid w:val="00DB7D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747C"/>
  <w15:docId w15:val="{AF789569-F41D-4A43-A2DC-E871CA4B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71" w:lineRule="auto"/>
      <w:ind w:left="10"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136" w:line="259" w:lineRule="auto"/>
      <w:ind w:left="10" w:hanging="10"/>
      <w:outlineLvl w:val="0"/>
    </w:pPr>
    <w:rPr>
      <w:rFonts w:ascii="Verdana" w:eastAsia="Verdana" w:hAnsi="Verdana" w:cs="Verdana"/>
      <w:b/>
      <w:color w:val="008C9A"/>
      <w:sz w:val="22"/>
    </w:rPr>
  </w:style>
  <w:style w:type="paragraph" w:styleId="Heading2">
    <w:name w:val="heading 2"/>
    <w:next w:val="Normal"/>
    <w:link w:val="Heading2Char"/>
    <w:uiPriority w:val="9"/>
    <w:unhideWhenUsed/>
    <w:qFormat/>
    <w:pPr>
      <w:keepNext/>
      <w:keepLines/>
      <w:spacing w:after="164" w:line="259" w:lineRule="auto"/>
      <w:ind w:left="10" w:hanging="10"/>
      <w:outlineLvl w:val="1"/>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8C9A"/>
      <w:sz w:val="22"/>
    </w:rPr>
  </w:style>
  <w:style w:type="paragraph" w:customStyle="1" w:styleId="footnotedescription">
    <w:name w:val="footnote description"/>
    <w:next w:val="Normal"/>
    <w:link w:val="footnotedescriptionChar"/>
    <w:hidden/>
    <w:pPr>
      <w:spacing w:after="39" w:line="308"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Calibri" w:eastAsia="Calibri" w:hAnsi="Calibri" w:cs="Calibri"/>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5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cf7bcc-2179-4e18-a95c-a918bc0b5a3f"/>
    <lcf76f155ced4ddcb4097134ff3c332f xmlns="db1b89db-9304-4653-961c-3130c8fe8e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26BC8723148418325782B8E2DE3D2" ma:contentTypeVersion="16" ma:contentTypeDescription="Create a new document." ma:contentTypeScope="" ma:versionID="5ef44c3b0a2873710eee0024ba2bc962">
  <xsd:schema xmlns:xsd="http://www.w3.org/2001/XMLSchema" xmlns:xs="http://www.w3.org/2001/XMLSchema" xmlns:p="http://schemas.microsoft.com/office/2006/metadata/properties" xmlns:ns2="db1b89db-9304-4653-961c-3130c8fe8e92" xmlns:ns3="78cf7bcc-2179-4e18-a95c-a918bc0b5a3f" targetNamespace="http://schemas.microsoft.com/office/2006/metadata/properties" ma:root="true" ma:fieldsID="9efca62566238817da1198316a7faa31" ns2:_="" ns3:_="">
    <xsd:import namespace="db1b89db-9304-4653-961c-3130c8fe8e92"/>
    <xsd:import namespace="78cf7bcc-2179-4e18-a95c-a918bc0b5a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b89db-9304-4653-961c-3130c8fe8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7089a3-7d53-4761-a541-9fa269f10f4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f7bcc-2179-4e18-a95c-a918bc0b5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cabdb2-b1c7-4bcb-9d40-af2143087a86}" ma:internalName="TaxCatchAll" ma:showField="CatchAllData" ma:web="78cf7bcc-2179-4e18-a95c-a918bc0b5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8DACC-E669-4C58-ABD5-20E7D8738C34}">
  <ds:schemaRefs>
    <ds:schemaRef ds:uri="http://schemas.microsoft.com/office/2006/metadata/properties"/>
    <ds:schemaRef ds:uri="http://schemas.microsoft.com/office/infopath/2007/PartnerControls"/>
    <ds:schemaRef ds:uri="78cf7bcc-2179-4e18-a95c-a918bc0b5a3f"/>
    <ds:schemaRef ds:uri="db1b89db-9304-4653-961c-3130c8fe8e92"/>
  </ds:schemaRefs>
</ds:datastoreItem>
</file>

<file path=customXml/itemProps2.xml><?xml version="1.0" encoding="utf-8"?>
<ds:datastoreItem xmlns:ds="http://schemas.openxmlformats.org/officeDocument/2006/customXml" ds:itemID="{ADCFDD59-33FE-4673-ABDD-714AA44409AB}">
  <ds:schemaRefs>
    <ds:schemaRef ds:uri="http://schemas.microsoft.com/sharepoint/v3/contenttype/forms"/>
  </ds:schemaRefs>
</ds:datastoreItem>
</file>

<file path=customXml/itemProps3.xml><?xml version="1.0" encoding="utf-8"?>
<ds:datastoreItem xmlns:ds="http://schemas.openxmlformats.org/officeDocument/2006/customXml" ds:itemID="{17A23520-878D-4FE6-9463-851A07A28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b89db-9304-4653-961c-3130c8fe8e92"/>
    <ds:schemaRef ds:uri="78cf7bcc-2179-4e18-a95c-a918bc0b5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1763</Words>
  <Characters>11550</Characters>
  <Application>Microsoft Office Word</Application>
  <DocSecurity>0</DocSecurity>
  <Lines>288</Lines>
  <Paragraphs>184</Paragraphs>
  <ScaleCrop>false</ScaleCrop>
  <HeadingPairs>
    <vt:vector size="2" baseType="variant">
      <vt:variant>
        <vt:lpstr>Title</vt:lpstr>
      </vt:variant>
      <vt:variant>
        <vt:i4>1</vt:i4>
      </vt:variant>
    </vt:vector>
  </HeadingPairs>
  <TitlesOfParts>
    <vt:vector size="1" baseType="lpstr">
      <vt:lpstr/>
    </vt:vector>
  </TitlesOfParts>
  <Company>OPNZ Maori Language</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Nerida Radley</dc:creator>
  <cp:keywords/>
  <cp:lastModifiedBy>Nerida Radley</cp:lastModifiedBy>
  <cp:revision>2</cp:revision>
  <dcterms:created xsi:type="dcterms:W3CDTF">2025-12-10T00:55:00Z</dcterms:created>
  <dcterms:modified xsi:type="dcterms:W3CDTF">2025-12-10T00:55:00Z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0x0101000E026BC8723148418325782B8E2DE3D2</vt:lpwstr>
  </property>
</Properties>
</file>